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0E16" w14:textId="77777777" w:rsidR="000527CF" w:rsidRPr="000527CF" w:rsidRDefault="000527CF" w:rsidP="00E651DF">
      <w:pPr>
        <w:rPr>
          <w:b/>
          <w:bCs/>
        </w:rPr>
      </w:pPr>
      <w:r w:rsidRPr="000527CF">
        <w:rPr>
          <w:b/>
          <w:bCs/>
        </w:rPr>
        <w:t>Odpowiedzi na przesłane w dniu 31.03.2025 r. pytania Wykonawcy dotyczące zapisów SWZ dla postępowania nr 2/CURI/UŁ/2025</w:t>
      </w:r>
    </w:p>
    <w:p w14:paraId="63D33150" w14:textId="77777777" w:rsidR="00A850AF" w:rsidRPr="00B346D6" w:rsidRDefault="00E651DF" w:rsidP="00E651DF">
      <w:pPr>
        <w:rPr>
          <w:b/>
          <w:bCs/>
        </w:rPr>
      </w:pPr>
      <w:r w:rsidRPr="00E651DF">
        <w:br/>
      </w:r>
      <w:r w:rsidRPr="00B346D6">
        <w:rPr>
          <w:b/>
          <w:bCs/>
        </w:rPr>
        <w:t>Pyt</w:t>
      </w:r>
      <w:r w:rsidR="00A850AF" w:rsidRPr="00B346D6">
        <w:rPr>
          <w:b/>
          <w:bCs/>
        </w:rPr>
        <w:t>anie</w:t>
      </w:r>
      <w:r w:rsidRPr="00B346D6">
        <w:rPr>
          <w:b/>
          <w:bCs/>
        </w:rPr>
        <w:t xml:space="preserve"> 1</w:t>
      </w:r>
      <w:r w:rsidR="00A850AF" w:rsidRPr="00B346D6">
        <w:rPr>
          <w:b/>
          <w:bCs/>
        </w:rPr>
        <w:t>.</w:t>
      </w:r>
    </w:p>
    <w:p w14:paraId="4618D887" w14:textId="77777777" w:rsidR="00A850AF" w:rsidRDefault="00E651DF" w:rsidP="00E651DF">
      <w:r w:rsidRPr="00E651DF">
        <w:t>W załączniku 2a Zamawiający opisuje poz. 1 łóżko i podaje parametry tkaniny "Tkanina Contract (...) Gramatura min. 364 gr/mtb"</w:t>
      </w:r>
      <w:r w:rsidRPr="00E651DF">
        <w:br/>
        <w:t>Wnosimy o wyjaśnienie co Zamawiający rozumie przez sformułowanie "tkanina contract".</w:t>
      </w:r>
      <w:r w:rsidRPr="00E651DF">
        <w:br/>
        <w:t>Wnosimy o wyjaśnienie co oznacza skrót "mtb" w opisie gramatury tkaniny.</w:t>
      </w:r>
    </w:p>
    <w:p w14:paraId="77D6A445" w14:textId="77777777" w:rsidR="00A850AF" w:rsidRPr="00B346D6" w:rsidRDefault="00A850AF" w:rsidP="00E651DF">
      <w:pPr>
        <w:rPr>
          <w:u w:val="single"/>
        </w:rPr>
      </w:pPr>
      <w:r w:rsidRPr="00B346D6">
        <w:rPr>
          <w:u w:val="single"/>
        </w:rPr>
        <w:t>Odpowiedź Zamawiającego:</w:t>
      </w:r>
    </w:p>
    <w:p w14:paraId="7EFAC3D5" w14:textId="7C7EDFC2" w:rsidR="00C54E0C" w:rsidRPr="00C54E0C" w:rsidRDefault="00C54E0C" w:rsidP="00C54E0C">
      <w:r w:rsidRPr="00C54E0C">
        <w:t xml:space="preserve">„Contract” to nazwa rodzaju tkaniny. Zamawiający przypomina, że zgodnie z zapisem pkt. III.9 SWZ - </w:t>
      </w:r>
      <w:r w:rsidRPr="00C54E0C">
        <w:rPr>
          <w:rFonts w:cstheme="minorHAnsi"/>
          <w:b/>
          <w:bCs/>
          <w:iCs/>
          <w:kern w:val="1"/>
        </w:rPr>
        <w:t>wskazane  w dokumentach  opisujących przedmiot zamówienia znaki towarowe, patenty lub pochodzenie, źródło lub szczególny proces, który charakteryzuje produkty lub usługi dostarczane przez konkretnego wykonawcę</w:t>
      </w:r>
      <w:r w:rsidRPr="00C54E0C">
        <w:rPr>
          <w:rFonts w:cstheme="minorHAnsi"/>
          <w:bCs/>
          <w:iCs/>
          <w:kern w:val="1"/>
        </w:rPr>
        <w:t xml:space="preserve"> są jedynie rozwiązaniami  przykładowymi wyznaczającymi standard  zastosowanych  materiałów, urządzeń,  systemów  i technologii. </w:t>
      </w:r>
      <w:r w:rsidRPr="00C54E0C">
        <w:rPr>
          <w:rFonts w:cstheme="minorHAnsi"/>
          <w:b/>
          <w:bCs/>
          <w:iCs/>
          <w:kern w:val="1"/>
        </w:rPr>
        <w:t xml:space="preserve">Zamawiający dopuszcza rozwiązania równoważne </w:t>
      </w:r>
      <w:r w:rsidRPr="00C54E0C">
        <w:rPr>
          <w:rFonts w:cstheme="minorHAnsi"/>
          <w:bCs/>
          <w:iCs/>
          <w:kern w:val="1"/>
        </w:rPr>
        <w:t>a w przypadku każdorazowego wskazania przyjąć należy, że odniesieniu takiemu towarzyszą wyrazy ,,</w:t>
      </w:r>
      <w:r w:rsidRPr="00C54E0C">
        <w:rPr>
          <w:rFonts w:cstheme="minorHAnsi"/>
          <w:bCs/>
          <w:iCs/>
          <w:kern w:val="1"/>
          <w:u w:val="single"/>
        </w:rPr>
        <w:t>lub  równoważne</w:t>
      </w:r>
      <w:r w:rsidRPr="00C54E0C">
        <w:rPr>
          <w:rFonts w:cstheme="minorHAnsi"/>
          <w:bCs/>
          <w:iCs/>
          <w:kern w:val="1"/>
        </w:rPr>
        <w:t>”.</w:t>
      </w:r>
    </w:p>
    <w:p w14:paraId="6FB5DFCA" w14:textId="0FC3847C" w:rsidR="00A850AF" w:rsidRDefault="00A850AF" w:rsidP="00E651DF">
      <w:r w:rsidRPr="00270DE3">
        <w:t>Wg danych producenta g/mtb jest to równoważnik g/m2</w:t>
      </w:r>
      <w:r w:rsidR="00C54E0C" w:rsidRPr="00C54E0C">
        <w:t xml:space="preserve"> – zmieniono zapis w poz. 1. Załącznika 2.a.</w:t>
      </w:r>
      <w:r w:rsidR="00E651DF" w:rsidRPr="00C54E0C">
        <w:br/>
      </w:r>
      <w:r w:rsidR="00E651DF" w:rsidRPr="00E651DF">
        <w:br/>
      </w:r>
      <w:r w:rsidR="00E651DF" w:rsidRPr="00B346D6">
        <w:rPr>
          <w:b/>
          <w:bCs/>
        </w:rPr>
        <w:t>Pyt</w:t>
      </w:r>
      <w:r w:rsidRPr="00B346D6">
        <w:rPr>
          <w:b/>
          <w:bCs/>
        </w:rPr>
        <w:t>anie</w:t>
      </w:r>
      <w:r w:rsidR="00E651DF" w:rsidRPr="00B346D6">
        <w:rPr>
          <w:b/>
          <w:bCs/>
        </w:rPr>
        <w:t xml:space="preserve"> 2</w:t>
      </w:r>
      <w:r w:rsidRPr="00B346D6">
        <w:rPr>
          <w:b/>
          <w:bCs/>
        </w:rPr>
        <w:t>.</w:t>
      </w:r>
    </w:p>
    <w:p w14:paraId="42A532F2" w14:textId="77777777" w:rsidR="00A850AF" w:rsidRDefault="00E651DF" w:rsidP="00E651DF">
      <w:r w:rsidRPr="00E651DF">
        <w:t xml:space="preserve"> W załączniku 2a Zamawiający opisuje w poz. 5 krzesło tapicerowane na 4 nogach i wymaga certyfikatów, atestów, świadectw zgodności, w tym "b) Protokół oceny ergonomicznej". Informujemy, że Protokół oceny ergonomicznej jest wystawiany wyłącznie dla krzeseł ergonomicznych. Krzesło ergonomiczne jest krzesłem regulowanym, aby mogło być dostosowane do indywidualnych wymagań użytkownika. Krzesło stacjonarne na 4 nogach nie jest krzesłem ergonomicznym, dlatego nie może posiadać protokołu oceny ergonomicznej.</w:t>
      </w:r>
      <w:r w:rsidRPr="00E651DF">
        <w:br/>
        <w:t>Wnosimy o wykreślenie ww. zapisu.</w:t>
      </w:r>
    </w:p>
    <w:p w14:paraId="181FA50E" w14:textId="77777777" w:rsidR="00A850AF" w:rsidRDefault="00A850AF" w:rsidP="00A850AF">
      <w:r w:rsidRPr="00A850AF">
        <w:rPr>
          <w:u w:val="single"/>
        </w:rPr>
        <w:t>Odpowiedź Zamawiającego</w:t>
      </w:r>
      <w:r>
        <w:t>:</w:t>
      </w:r>
    </w:p>
    <w:p w14:paraId="3E526488" w14:textId="77777777" w:rsidR="00A850AF" w:rsidRPr="00B346D6" w:rsidRDefault="00A850AF" w:rsidP="00E651DF">
      <w:pPr>
        <w:rPr>
          <w:b/>
          <w:bCs/>
        </w:rPr>
      </w:pPr>
      <w:r>
        <w:t>W opisie krzesła w poz. 5 Załącznika nr 2a do SWZ wykreślono zapis o konieczności posiadania protokołu oceny ergonomicznej. Zmianie uległa w związku z tym również numeracja podpunktów w pkt. 3.</w:t>
      </w:r>
      <w:r w:rsidR="00E651DF" w:rsidRPr="00E651DF">
        <w:br/>
      </w:r>
      <w:r w:rsidR="00E651DF" w:rsidRPr="00E651DF">
        <w:br/>
      </w:r>
      <w:r w:rsidR="00E651DF" w:rsidRPr="00B346D6">
        <w:rPr>
          <w:b/>
          <w:bCs/>
        </w:rPr>
        <w:t>Pyt</w:t>
      </w:r>
      <w:r w:rsidRPr="00B346D6">
        <w:rPr>
          <w:b/>
          <w:bCs/>
        </w:rPr>
        <w:t>anie</w:t>
      </w:r>
      <w:r w:rsidR="00E651DF" w:rsidRPr="00B346D6">
        <w:rPr>
          <w:b/>
          <w:bCs/>
        </w:rPr>
        <w:t xml:space="preserve"> 3</w:t>
      </w:r>
      <w:r w:rsidRPr="00B346D6">
        <w:rPr>
          <w:b/>
          <w:bCs/>
        </w:rPr>
        <w:t>.</w:t>
      </w:r>
    </w:p>
    <w:p w14:paraId="5EB53AAC" w14:textId="77777777" w:rsidR="00B346D6" w:rsidRDefault="00E651DF" w:rsidP="00E651DF">
      <w:r w:rsidRPr="00E651DF">
        <w:lastRenderedPageBreak/>
        <w:t>Zamawiający opisuje w zał 2a sofy i fotele w poz. 37, 42 i 43. Jednocześnie w ww. załączniku podaje "wymagane atesty i dokumenty"., które ich dotyczą: "1. Raport z badania odporności tkaniny na ścieranie min. 300 000 cykli Martindale. 2. Raport z badania zapalności tkaniny zgodnie z normą EN 1021-1:2006 (tlący papieros), EN 1021-2:2006 (równoważnik płomienia zapałki). 3. Certyfikat potwierdzający zgodność siedziska z normą PN EN 16139:2014."</w:t>
      </w:r>
      <w:r w:rsidRPr="00E651DF">
        <w:br/>
      </w:r>
    </w:p>
    <w:p w14:paraId="1ACFA0DC" w14:textId="3A475C85" w:rsidR="00293330" w:rsidRDefault="00E651DF" w:rsidP="00E651DF">
      <w:r w:rsidRPr="00E651DF">
        <w:t>1) W opisie ww. siedzisk zamawiający podaje przykładowe nazwy tkanin, które spełnia jego wymagania. Podane tkaniny nie posiadają wymaganej ścieralności na poziomie 300 tys. cykli oraz trudnopalności PN EN 1021-2 (wg informacji od producenta, tkaniny posiadają trudnopalnoś</w:t>
      </w:r>
      <w:r w:rsidR="00C620FC">
        <w:t>ć</w:t>
      </w:r>
      <w:r w:rsidRPr="00E651DF">
        <w:t xml:space="preserve"> zg. z normą PN EN 1021-1:2014-12.</w:t>
      </w:r>
      <w:r w:rsidRPr="00E651DF">
        <w:br/>
        <w:t>Wnosimy o wyjaśnienie, czy zaoferowanie siedzisk tapicerowanych tkaniną podaną w OPZ z nazwy (np. Buf, Admiral, Stonehenge) będzie równoznaczne ze spełnieniem oczekiwań Zamawiającego?</w:t>
      </w:r>
    </w:p>
    <w:p w14:paraId="7BBAB160" w14:textId="77777777" w:rsidR="00293330" w:rsidRDefault="00293330" w:rsidP="00293330">
      <w:r w:rsidRPr="00A850AF">
        <w:rPr>
          <w:u w:val="single"/>
        </w:rPr>
        <w:t>Odpowiedź Zamawiającego</w:t>
      </w:r>
      <w:r>
        <w:t>:</w:t>
      </w:r>
    </w:p>
    <w:p w14:paraId="6D018980" w14:textId="4F6540FC" w:rsidR="00293330" w:rsidRPr="00293330" w:rsidRDefault="00293330" w:rsidP="00E651DF">
      <w:r w:rsidRPr="00270DE3">
        <w:t xml:space="preserve">Tak, </w:t>
      </w:r>
      <w:r>
        <w:t xml:space="preserve">zaoferowanie siedzisk tapicerowanych tkaniną podana w OPZ </w:t>
      </w:r>
      <w:r w:rsidRPr="00270DE3">
        <w:t>będzie równoznaczne ze spełnieniem oczekiwań</w:t>
      </w:r>
      <w:r>
        <w:t xml:space="preserve"> Zamawiającego. Jednocześnie Zamawiający przypomina, że zgodnie z zapisem pkt. III.9 SWZ - </w:t>
      </w:r>
      <w:r w:rsidRPr="00293330">
        <w:rPr>
          <w:rFonts w:cstheme="minorHAnsi"/>
          <w:b/>
          <w:bCs/>
          <w:iCs/>
          <w:kern w:val="1"/>
        </w:rPr>
        <w:t>wskazane  w dokumentach  opisujących przedmiot zamówienia znaki towarowe, patenty lub pochodzenie, źródło lub szczególny proces, który charakteryzuje produkty lub usługi dostarczane przez konkretnego wykonawcę</w:t>
      </w:r>
      <w:r w:rsidRPr="00293330">
        <w:rPr>
          <w:rFonts w:cstheme="minorHAnsi"/>
          <w:bCs/>
          <w:iCs/>
          <w:kern w:val="1"/>
        </w:rPr>
        <w:t xml:space="preserve"> są jedynie rozwiązaniami  przykładowymi wyznaczającymi standard  zastosowanych  materiałów, urządzeń,  systemów  i technologii. </w:t>
      </w:r>
      <w:r w:rsidRPr="00293330">
        <w:rPr>
          <w:rFonts w:cstheme="minorHAnsi"/>
          <w:b/>
          <w:bCs/>
          <w:iCs/>
          <w:kern w:val="1"/>
        </w:rPr>
        <w:t xml:space="preserve">Zamawiający dopuszcza rozwiązania równoważne </w:t>
      </w:r>
      <w:r w:rsidRPr="00293330">
        <w:rPr>
          <w:rFonts w:cstheme="minorHAnsi"/>
          <w:bCs/>
          <w:iCs/>
          <w:kern w:val="1"/>
        </w:rPr>
        <w:t>a w przypadku każdorazowego wskazania przyjąć należy, że odniesieniu takiemu towarzyszą wyrazy ,,</w:t>
      </w:r>
      <w:r w:rsidRPr="00293330">
        <w:rPr>
          <w:rFonts w:cstheme="minorHAnsi"/>
          <w:bCs/>
          <w:iCs/>
          <w:kern w:val="1"/>
          <w:u w:val="single"/>
        </w:rPr>
        <w:t>lub  równoważne</w:t>
      </w:r>
      <w:r w:rsidRPr="00293330">
        <w:rPr>
          <w:rFonts w:cstheme="minorHAnsi"/>
          <w:bCs/>
          <w:iCs/>
          <w:kern w:val="1"/>
        </w:rPr>
        <w:t>”.</w:t>
      </w:r>
    </w:p>
    <w:p w14:paraId="78CA53EC" w14:textId="77777777" w:rsidR="00293330" w:rsidRDefault="00E651DF" w:rsidP="00E651DF">
      <w:r w:rsidRPr="00E651DF">
        <w:br/>
        <w:t>2) Opisane sofy i fotele nie są atestowane przez producenta, nie posiadają atestów wytrzymałościowych. Opis podany przez Zamawiającego, nie uwzględniający tolerancji wymiarowej oraz zawierający indeks pianki konkretnego producenta uniemożliwia zaoferowanie innego produktu niż opisany w OPZ. W związku z powyższym, wnosimy o wykreślenie zapisu o konieczności posiadania przez sofy i fotele certyfikatu zgodności z normą PN-EN 16139.</w:t>
      </w:r>
    </w:p>
    <w:p w14:paraId="09C7ABB8" w14:textId="77777777" w:rsidR="00293330" w:rsidRDefault="00293330" w:rsidP="00E651DF">
      <w:r w:rsidRPr="00A850AF">
        <w:rPr>
          <w:u w:val="single"/>
        </w:rPr>
        <w:t>Odpowiedź Zamawiającego</w:t>
      </w:r>
      <w:r>
        <w:t>:</w:t>
      </w:r>
    </w:p>
    <w:p w14:paraId="0058C2C1" w14:textId="77777777" w:rsidR="00293330" w:rsidRDefault="00293330" w:rsidP="00293330">
      <w:r>
        <w:t xml:space="preserve">Wykreślono zapis </w:t>
      </w:r>
      <w:r w:rsidRPr="00E651DF">
        <w:t>o konieczności posiadania przez sofy i fotele certyfikatu zgodności z normą PN-EN 16139.</w:t>
      </w:r>
    </w:p>
    <w:p w14:paraId="434DC0AD" w14:textId="77777777" w:rsidR="00854F15" w:rsidRPr="00B346D6" w:rsidRDefault="00E651DF" w:rsidP="00E651DF">
      <w:pPr>
        <w:rPr>
          <w:b/>
          <w:bCs/>
        </w:rPr>
      </w:pPr>
      <w:r w:rsidRPr="00E651DF">
        <w:br/>
      </w:r>
      <w:r w:rsidRPr="00B346D6">
        <w:rPr>
          <w:b/>
          <w:bCs/>
        </w:rPr>
        <w:t>Pyt</w:t>
      </w:r>
      <w:r w:rsidR="00854F15" w:rsidRPr="00B346D6">
        <w:rPr>
          <w:b/>
          <w:bCs/>
        </w:rPr>
        <w:t>anie</w:t>
      </w:r>
      <w:r w:rsidRPr="00B346D6">
        <w:rPr>
          <w:b/>
          <w:bCs/>
        </w:rPr>
        <w:t xml:space="preserve"> 4</w:t>
      </w:r>
      <w:r w:rsidR="00854F15" w:rsidRPr="00B346D6">
        <w:rPr>
          <w:b/>
          <w:bCs/>
        </w:rPr>
        <w:t>.</w:t>
      </w:r>
    </w:p>
    <w:p w14:paraId="2406BBDE" w14:textId="77777777" w:rsidR="00854F15" w:rsidRDefault="00E651DF" w:rsidP="00E651DF">
      <w:r w:rsidRPr="00E651DF">
        <w:lastRenderedPageBreak/>
        <w:t xml:space="preserve"> W załączniku 2a Zamawiający opisuje w poz. 41 Pufę sako. Jednocześnie wskazuje wymagane atesty i dokumenty dotyczące puf (takie jak dla sof i foteli w pyt. 3). Informujemy, że pufy nie są produkowane z ecoskóry posiadającej ścieralność na poziomie 300 tys. suwów. Ponadto, żadna pufa sako nie posiada zgodności z normą PN-EN 16139, choćby ze względu na brak całkowitej stabilności - przez swoją naturę (wypełnienie worka granulatem).</w:t>
      </w:r>
      <w:r w:rsidRPr="00E651DF">
        <w:br/>
        <w:t>Wnosimy o wykreślenie ww. wymagań dla puf.</w:t>
      </w:r>
      <w:r w:rsidRPr="00E651DF">
        <w:br/>
        <w:t>Wymagania, które winna spełniać pufa sako to atest PZH, materiał zgodny z rozporządzeniem REACH, posiada atest Certyfikat STANDARD 100 by OEKO-TEX</w:t>
      </w:r>
    </w:p>
    <w:p w14:paraId="3161E939" w14:textId="77777777" w:rsidR="00854F15" w:rsidRDefault="00854F15" w:rsidP="00854F15">
      <w:r w:rsidRPr="00A850AF">
        <w:rPr>
          <w:u w:val="single"/>
        </w:rPr>
        <w:t>Odpowiedź Zamawiającego</w:t>
      </w:r>
      <w:r>
        <w:t>:</w:t>
      </w:r>
    </w:p>
    <w:p w14:paraId="4AB2534B" w14:textId="77777777" w:rsidR="00D71DA9" w:rsidRDefault="00D71DA9" w:rsidP="00E651DF">
      <w:r>
        <w:t>Określono osobne wymagania dla puf saco – w Zał. nr 2.a. do SWZ - pod tabelą w punkcie „</w:t>
      </w:r>
      <w:r w:rsidRPr="00D71DA9">
        <w:t>Wymagane atesty dotyczące puf</w:t>
      </w:r>
      <w:r>
        <w:t>”.</w:t>
      </w:r>
      <w:r w:rsidR="00E651DF" w:rsidRPr="00E651DF">
        <w:br/>
      </w:r>
      <w:r w:rsidR="00E651DF" w:rsidRPr="00E651DF">
        <w:br/>
      </w:r>
      <w:r w:rsidR="00E651DF" w:rsidRPr="00B346D6">
        <w:rPr>
          <w:b/>
          <w:bCs/>
        </w:rPr>
        <w:t>Pyt</w:t>
      </w:r>
      <w:r w:rsidRPr="00B346D6">
        <w:rPr>
          <w:b/>
          <w:bCs/>
        </w:rPr>
        <w:t xml:space="preserve">anie </w:t>
      </w:r>
      <w:r w:rsidR="00E651DF" w:rsidRPr="00B346D6">
        <w:rPr>
          <w:b/>
          <w:bCs/>
        </w:rPr>
        <w:t>5</w:t>
      </w:r>
      <w:r w:rsidRPr="00B346D6">
        <w:rPr>
          <w:b/>
          <w:bCs/>
        </w:rPr>
        <w:t>.</w:t>
      </w:r>
    </w:p>
    <w:p w14:paraId="52320207" w14:textId="77777777" w:rsidR="00D71DA9" w:rsidRDefault="00E651DF" w:rsidP="00E651DF">
      <w:r w:rsidRPr="00E651DF">
        <w:t>W załączniku 2a w poz. 56 Zamawiający opisuje krzesło obrotowe, które ma posiadać "Podłokietnik 2D - V3".</w:t>
      </w:r>
      <w:r w:rsidRPr="00E651DF">
        <w:br/>
        <w:t>Wnosimy o wyjaśnienie, co Zamawiający rozumie przez oznaczenie "V3"?</w:t>
      </w:r>
    </w:p>
    <w:p w14:paraId="6384B9C8" w14:textId="77777777" w:rsidR="00D71DA9" w:rsidRDefault="00D71DA9" w:rsidP="00D71DA9">
      <w:r w:rsidRPr="00A850AF">
        <w:rPr>
          <w:u w:val="single"/>
        </w:rPr>
        <w:t>Odpowiedź Zamawiającego</w:t>
      </w:r>
      <w:r>
        <w:t>:</w:t>
      </w:r>
    </w:p>
    <w:p w14:paraId="0399BBE9" w14:textId="250D4327" w:rsidR="00D71DA9" w:rsidRPr="00270DE3" w:rsidRDefault="00D71DA9" w:rsidP="00D71DA9">
      <w:r>
        <w:t xml:space="preserve">W opisie przywołano nomenklaturę producenta krzeseł. </w:t>
      </w:r>
      <w:r w:rsidRPr="00270DE3">
        <w:t>Istotne jest, aby podłokietnik miał regulację wysokości i szerokości, czyli 2D.</w:t>
      </w:r>
      <w:r>
        <w:t xml:space="preserve"> Zapis w pkt. 56 został zmieniony</w:t>
      </w:r>
      <w:r w:rsidR="00816983">
        <w:t xml:space="preserve"> – wykreślono oznaczenie V3</w:t>
      </w:r>
      <w:r>
        <w:t>.</w:t>
      </w:r>
    </w:p>
    <w:p w14:paraId="09576E6D" w14:textId="535B5AE5" w:rsidR="00816983" w:rsidRPr="00B346D6" w:rsidRDefault="00E651DF" w:rsidP="00E651DF">
      <w:pPr>
        <w:rPr>
          <w:b/>
          <w:bCs/>
        </w:rPr>
      </w:pPr>
      <w:r w:rsidRPr="00E651DF">
        <w:br/>
      </w:r>
      <w:r w:rsidR="00816983" w:rsidRPr="00B346D6">
        <w:rPr>
          <w:b/>
          <w:bCs/>
        </w:rPr>
        <w:t>Pytanie</w:t>
      </w:r>
      <w:r w:rsidR="00B346D6" w:rsidRPr="00B346D6">
        <w:rPr>
          <w:b/>
          <w:bCs/>
        </w:rPr>
        <w:t xml:space="preserve"> 6.</w:t>
      </w:r>
      <w:r w:rsidR="00816983" w:rsidRPr="00B346D6">
        <w:rPr>
          <w:b/>
          <w:bCs/>
        </w:rPr>
        <w:t xml:space="preserve">/wniosek </w:t>
      </w:r>
    </w:p>
    <w:p w14:paraId="0A6DA576" w14:textId="77777777" w:rsidR="00816983" w:rsidRPr="00816983" w:rsidRDefault="00E651DF" w:rsidP="00816983">
      <w:pPr>
        <w:rPr>
          <w:sz w:val="2"/>
          <w:szCs w:val="2"/>
          <w:u w:val="single"/>
        </w:rPr>
      </w:pPr>
      <w:r w:rsidRPr="00E651DF">
        <w:t>Z uwagi na to, że jedno z pytań dotyczy mebla, który należy dostarczyć wraz z ofertą jako przedmiotowy środek dowodowy, a odpowiedź ma znaczący wpływ na przygotowanie modelu zgodnego z wymaganiami Zamawiającego, wnosimy o zmianę terminu składania ofert na 11.04.2025 r.</w:t>
      </w:r>
      <w:r w:rsidRPr="00E651DF">
        <w:br/>
      </w:r>
    </w:p>
    <w:p w14:paraId="603A8C6A" w14:textId="734DCAE5" w:rsidR="00816983" w:rsidRDefault="00816983" w:rsidP="00816983">
      <w:r w:rsidRPr="00A850AF">
        <w:rPr>
          <w:u w:val="single"/>
        </w:rPr>
        <w:t>Odpowiedź Zamawiającego</w:t>
      </w:r>
      <w:r>
        <w:t>:</w:t>
      </w:r>
    </w:p>
    <w:p w14:paraId="359CE862" w14:textId="0F2AC12A" w:rsidR="00816983" w:rsidRDefault="00816983" w:rsidP="00816983">
      <w:r>
        <w:t>Termin składania i otwarcia ofert pozostaje bez zmian.</w:t>
      </w:r>
    </w:p>
    <w:p w14:paraId="706A924A" w14:textId="77777777" w:rsidR="00816983" w:rsidRDefault="00816983" w:rsidP="00816983"/>
    <w:p w14:paraId="6183CAD9" w14:textId="720EB4C3" w:rsidR="00816983" w:rsidRDefault="00816983" w:rsidP="00816983">
      <w:r>
        <w:t xml:space="preserve">W załączeniu: Załącznik nr 2.a do SWZ_Arkusz asortymentowo-cenowy_aktualizacja </w:t>
      </w:r>
      <w:r w:rsidR="00E501B2" w:rsidRPr="00E501B2">
        <w:t>02</w:t>
      </w:r>
      <w:r>
        <w:t>.04.2025</w:t>
      </w:r>
      <w:r w:rsidR="008E488A">
        <w:t xml:space="preserve"> r.</w:t>
      </w:r>
    </w:p>
    <w:p w14:paraId="0CD1ACD8" w14:textId="6DDA9084" w:rsidR="00E651DF" w:rsidRPr="00E651DF" w:rsidRDefault="00E651DF" w:rsidP="00E651DF">
      <w:r w:rsidRPr="00E651DF">
        <w:br/>
      </w:r>
    </w:p>
    <w:p w14:paraId="07B34EB1" w14:textId="77777777" w:rsidR="00E651DF" w:rsidRDefault="00E651DF"/>
    <w:sectPr w:rsidR="00E65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DF"/>
    <w:rsid w:val="000527CF"/>
    <w:rsid w:val="00293330"/>
    <w:rsid w:val="00411177"/>
    <w:rsid w:val="004C2062"/>
    <w:rsid w:val="00535448"/>
    <w:rsid w:val="005C0B6C"/>
    <w:rsid w:val="007519EC"/>
    <w:rsid w:val="00816983"/>
    <w:rsid w:val="00854F15"/>
    <w:rsid w:val="008E488A"/>
    <w:rsid w:val="00A065B7"/>
    <w:rsid w:val="00A850AF"/>
    <w:rsid w:val="00B346D6"/>
    <w:rsid w:val="00C54E0C"/>
    <w:rsid w:val="00C620FC"/>
    <w:rsid w:val="00D55DB1"/>
    <w:rsid w:val="00D71DA9"/>
    <w:rsid w:val="00E501B2"/>
    <w:rsid w:val="00E64744"/>
    <w:rsid w:val="00E651DF"/>
    <w:rsid w:val="00E75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CBFB"/>
  <w15:chartTrackingRefBased/>
  <w15:docId w15:val="{1608F3E3-8B3B-4EA3-A557-5215B1EE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5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65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651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651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651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651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51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51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51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51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651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651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651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651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651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51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51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51DF"/>
    <w:rPr>
      <w:rFonts w:eastAsiaTheme="majorEastAsia" w:cstheme="majorBidi"/>
      <w:color w:val="272727" w:themeColor="text1" w:themeTint="D8"/>
    </w:rPr>
  </w:style>
  <w:style w:type="paragraph" w:styleId="Tytu">
    <w:name w:val="Title"/>
    <w:basedOn w:val="Normalny"/>
    <w:next w:val="Normalny"/>
    <w:link w:val="TytuZnak"/>
    <w:uiPriority w:val="10"/>
    <w:qFormat/>
    <w:rsid w:val="00E65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51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51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51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51DF"/>
    <w:pPr>
      <w:spacing w:before="160"/>
      <w:jc w:val="center"/>
    </w:pPr>
    <w:rPr>
      <w:i/>
      <w:iCs/>
      <w:color w:val="404040" w:themeColor="text1" w:themeTint="BF"/>
    </w:rPr>
  </w:style>
  <w:style w:type="character" w:customStyle="1" w:styleId="CytatZnak">
    <w:name w:val="Cytat Znak"/>
    <w:basedOn w:val="Domylnaczcionkaakapitu"/>
    <w:link w:val="Cytat"/>
    <w:uiPriority w:val="29"/>
    <w:rsid w:val="00E651DF"/>
    <w:rPr>
      <w:i/>
      <w:iCs/>
      <w:color w:val="404040" w:themeColor="text1" w:themeTint="BF"/>
    </w:rPr>
  </w:style>
  <w:style w:type="paragraph" w:styleId="Akapitzlist">
    <w:name w:val="List Paragraph"/>
    <w:basedOn w:val="Normalny"/>
    <w:uiPriority w:val="34"/>
    <w:qFormat/>
    <w:rsid w:val="00E651DF"/>
    <w:pPr>
      <w:ind w:left="720"/>
      <w:contextualSpacing/>
    </w:pPr>
  </w:style>
  <w:style w:type="character" w:styleId="Wyrnienieintensywne">
    <w:name w:val="Intense Emphasis"/>
    <w:basedOn w:val="Domylnaczcionkaakapitu"/>
    <w:uiPriority w:val="21"/>
    <w:qFormat/>
    <w:rsid w:val="00E651DF"/>
    <w:rPr>
      <w:i/>
      <w:iCs/>
      <w:color w:val="0F4761" w:themeColor="accent1" w:themeShade="BF"/>
    </w:rPr>
  </w:style>
  <w:style w:type="paragraph" w:styleId="Cytatintensywny">
    <w:name w:val="Intense Quote"/>
    <w:basedOn w:val="Normalny"/>
    <w:next w:val="Normalny"/>
    <w:link w:val="CytatintensywnyZnak"/>
    <w:uiPriority w:val="30"/>
    <w:qFormat/>
    <w:rsid w:val="00E65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651DF"/>
    <w:rPr>
      <w:i/>
      <w:iCs/>
      <w:color w:val="0F4761" w:themeColor="accent1" w:themeShade="BF"/>
    </w:rPr>
  </w:style>
  <w:style w:type="character" w:styleId="Odwoanieintensywne">
    <w:name w:val="Intense Reference"/>
    <w:basedOn w:val="Domylnaczcionkaakapitu"/>
    <w:uiPriority w:val="32"/>
    <w:qFormat/>
    <w:rsid w:val="00E651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418537">
      <w:bodyDiv w:val="1"/>
      <w:marLeft w:val="0"/>
      <w:marRight w:val="0"/>
      <w:marTop w:val="0"/>
      <w:marBottom w:val="0"/>
      <w:divBdr>
        <w:top w:val="none" w:sz="0" w:space="0" w:color="auto"/>
        <w:left w:val="none" w:sz="0" w:space="0" w:color="auto"/>
        <w:bottom w:val="none" w:sz="0" w:space="0" w:color="auto"/>
        <w:right w:val="none" w:sz="0" w:space="0" w:color="auto"/>
      </w:divBdr>
      <w:divsChild>
        <w:div w:id="2062287412">
          <w:marLeft w:val="-225"/>
          <w:marRight w:val="-225"/>
          <w:marTop w:val="0"/>
          <w:marBottom w:val="0"/>
          <w:divBdr>
            <w:top w:val="none" w:sz="0" w:space="0" w:color="auto"/>
            <w:left w:val="none" w:sz="0" w:space="0" w:color="auto"/>
            <w:bottom w:val="none" w:sz="0" w:space="0" w:color="auto"/>
            <w:right w:val="none" w:sz="0" w:space="0" w:color="auto"/>
          </w:divBdr>
          <w:divsChild>
            <w:div w:id="458256385">
              <w:marLeft w:val="0"/>
              <w:marRight w:val="0"/>
              <w:marTop w:val="0"/>
              <w:marBottom w:val="0"/>
              <w:divBdr>
                <w:top w:val="none" w:sz="0" w:space="0" w:color="auto"/>
                <w:left w:val="none" w:sz="0" w:space="0" w:color="auto"/>
                <w:bottom w:val="none" w:sz="0" w:space="0" w:color="auto"/>
                <w:right w:val="none" w:sz="0" w:space="0" w:color="auto"/>
              </w:divBdr>
              <w:divsChild>
                <w:div w:id="2029016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8178338">
      <w:bodyDiv w:val="1"/>
      <w:marLeft w:val="0"/>
      <w:marRight w:val="0"/>
      <w:marTop w:val="0"/>
      <w:marBottom w:val="0"/>
      <w:divBdr>
        <w:top w:val="none" w:sz="0" w:space="0" w:color="auto"/>
        <w:left w:val="none" w:sz="0" w:space="0" w:color="auto"/>
        <w:bottom w:val="none" w:sz="0" w:space="0" w:color="auto"/>
        <w:right w:val="none" w:sz="0" w:space="0" w:color="auto"/>
      </w:divBdr>
      <w:divsChild>
        <w:div w:id="1257595868">
          <w:marLeft w:val="-225"/>
          <w:marRight w:val="-225"/>
          <w:marTop w:val="0"/>
          <w:marBottom w:val="0"/>
          <w:divBdr>
            <w:top w:val="none" w:sz="0" w:space="0" w:color="auto"/>
            <w:left w:val="none" w:sz="0" w:space="0" w:color="auto"/>
            <w:bottom w:val="none" w:sz="0" w:space="0" w:color="auto"/>
            <w:right w:val="none" w:sz="0" w:space="0" w:color="auto"/>
          </w:divBdr>
          <w:divsChild>
            <w:div w:id="237978697">
              <w:marLeft w:val="0"/>
              <w:marRight w:val="0"/>
              <w:marTop w:val="0"/>
              <w:marBottom w:val="0"/>
              <w:divBdr>
                <w:top w:val="none" w:sz="0" w:space="0" w:color="auto"/>
                <w:left w:val="none" w:sz="0" w:space="0" w:color="auto"/>
                <w:bottom w:val="none" w:sz="0" w:space="0" w:color="auto"/>
                <w:right w:val="none" w:sz="0" w:space="0" w:color="auto"/>
              </w:divBdr>
              <w:divsChild>
                <w:div w:id="10797176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828</Words>
  <Characters>4973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Jaroszczak</dc:creator>
  <cp:keywords/>
  <dc:description/>
  <cp:lastModifiedBy>Sławomir Jaroszczak</cp:lastModifiedBy>
  <cp:revision>12</cp:revision>
  <dcterms:created xsi:type="dcterms:W3CDTF">2025-04-01T10:42:00Z</dcterms:created>
  <dcterms:modified xsi:type="dcterms:W3CDTF">2025-04-03T07:06:00Z</dcterms:modified>
</cp:coreProperties>
</file>