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6250A2C9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52325C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 w:rsidR="00F02EAA">
        <w:rPr>
          <w:rFonts w:asciiTheme="minorHAnsi" w:eastAsia="Times New Roman" w:hAnsiTheme="minorHAnsi" w:cstheme="minorHAnsi"/>
          <w:b/>
          <w:bCs/>
        </w:rPr>
        <w:t>2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0D4DE14B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F02EAA">
        <w:rPr>
          <w:b/>
          <w:bCs/>
        </w:rPr>
        <w:t>3</w:t>
      </w:r>
      <w:r w:rsidR="00DE69CF">
        <w:rPr>
          <w:b/>
          <w:bCs/>
        </w:rPr>
        <w:t>/2023/TP/IRS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4F341F60" w:rsidR="00D06C44" w:rsidRPr="002236A4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F02EAA" w:rsidRPr="00F02EAA">
        <w:rPr>
          <w:rFonts w:eastAsia="Times New Roman"/>
          <w:b/>
        </w:rPr>
        <w:t>Sukcesywna dostawa oleju opałowego do celów grzewczych na potrzeby Rybackiego Zakładu Doświadczalnego w Zatorze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108 ust. 1 Ustawy Pzp. Ustawy Pzp.</w:t>
      </w:r>
    </w:p>
    <w:p w14:paraId="01A20AEB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zachodzą w stosunku do mnie podstawy wykluczenia z postępowania na podstawie art. ……..… Ustawy pzp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D579" w14:textId="77777777" w:rsidR="00FE5C28" w:rsidRDefault="00FE5C28">
      <w:r>
        <w:separator/>
      </w:r>
    </w:p>
  </w:endnote>
  <w:endnote w:type="continuationSeparator" w:id="0">
    <w:p w14:paraId="401FDB38" w14:textId="77777777" w:rsidR="00FE5C28" w:rsidRDefault="00FE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AC73" w14:textId="77777777" w:rsidR="00FE5C28" w:rsidRDefault="00FE5C28">
      <w:r>
        <w:separator/>
      </w:r>
    </w:p>
  </w:footnote>
  <w:footnote w:type="continuationSeparator" w:id="0">
    <w:p w14:paraId="2540DF57" w14:textId="77777777" w:rsidR="00FE5C28" w:rsidRDefault="00FE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6430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325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2EAA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E5C28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1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2752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3</cp:revision>
  <cp:lastPrinted>2022-08-16T10:31:00Z</cp:lastPrinted>
  <dcterms:created xsi:type="dcterms:W3CDTF">2023-02-01T12:40:00Z</dcterms:created>
  <dcterms:modified xsi:type="dcterms:W3CDTF">2023-02-01T12:53:00Z</dcterms:modified>
</cp:coreProperties>
</file>