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F0" w:rsidRPr="00070E4B" w:rsidRDefault="00070E4B">
      <w:pPr>
        <w:jc w:val="right"/>
        <w:rPr>
          <w:rFonts w:hint="eastAsia"/>
          <w:b/>
          <w:sz w:val="22"/>
          <w:szCs w:val="22"/>
        </w:rPr>
      </w:pPr>
      <w:r w:rsidRPr="00070E4B">
        <w:rPr>
          <w:b/>
          <w:sz w:val="22"/>
          <w:szCs w:val="22"/>
        </w:rPr>
        <w:t>Załącznik Nr 2.2   do SWZ</w:t>
      </w:r>
    </w:p>
    <w:p w:rsidR="00E50AF0" w:rsidRDefault="00E50AF0">
      <w:pPr>
        <w:rPr>
          <w:rFonts w:hint="eastAsia"/>
        </w:rPr>
      </w:pPr>
    </w:p>
    <w:p w:rsidR="00E50AF0" w:rsidRDefault="00070E4B">
      <w:pPr>
        <w:rPr>
          <w:rFonts w:hint="eastAsia"/>
        </w:rPr>
      </w:pPr>
      <w:r>
        <w:rPr>
          <w:b/>
          <w:bCs/>
        </w:rPr>
        <w:t>KRYTERIA</w:t>
      </w:r>
      <w:r>
        <w:rPr>
          <w:b/>
          <w:bCs/>
        </w:rPr>
        <w:tab/>
      </w:r>
    </w:p>
    <w:p w:rsidR="00E50AF0" w:rsidRDefault="00070E4B">
      <w:pPr>
        <w:rPr>
          <w:rFonts w:hint="eastAsia"/>
        </w:rPr>
      </w:pPr>
      <w:r>
        <w:t>Wartość kontraktu:</w:t>
      </w:r>
      <w:r>
        <w:tab/>
        <w:t>50,00%</w:t>
      </w:r>
    </w:p>
    <w:p w:rsidR="00E50AF0" w:rsidRDefault="00070E4B">
      <w:pPr>
        <w:rPr>
          <w:rFonts w:hint="eastAsia"/>
        </w:rPr>
      </w:pPr>
      <w:r>
        <w:t>Punktacja za autoryzację i warunki napraw:</w:t>
      </w:r>
      <w:r>
        <w:tab/>
        <w:t>50,00%</w:t>
      </w:r>
    </w:p>
    <w:p w:rsidR="00E50AF0" w:rsidRDefault="00E50AF0">
      <w:pPr>
        <w:rPr>
          <w:rFonts w:hint="eastAsia"/>
        </w:rPr>
      </w:pPr>
    </w:p>
    <w:tbl>
      <w:tblPr>
        <w:tblW w:w="9553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9"/>
        <w:gridCol w:w="4995"/>
        <w:gridCol w:w="1275"/>
        <w:gridCol w:w="1276"/>
        <w:gridCol w:w="1418"/>
      </w:tblGrid>
      <w:tr w:rsidR="00E50AF0">
        <w:trPr>
          <w:trHeight w:val="283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rPr>
                <w:b/>
              </w:rPr>
              <w:t>L.P.</w:t>
            </w:r>
          </w:p>
        </w:tc>
        <w:tc>
          <w:tcPr>
            <w:tcW w:w="4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rPr>
                <w:b/>
              </w:rPr>
              <w:t>Warunki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rPr>
                <w:b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rPr>
                <w:b/>
              </w:rPr>
              <w:t>Oferowane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rPr>
                <w:b/>
              </w:rPr>
              <w:t>punktacja</w:t>
            </w:r>
          </w:p>
        </w:tc>
      </w:tr>
      <w:tr w:rsidR="00E50AF0">
        <w:trPr>
          <w:trHeight w:val="283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Autoryzacja serwisu przez producenta urządzeń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tak/nie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4F4C0F">
            <w:pPr>
              <w:rPr>
                <w:rFonts w:hint="eastAsia"/>
              </w:rPr>
            </w:pPr>
            <w:r>
              <w:t xml:space="preserve">Autoryzacja – 40 </w:t>
            </w:r>
            <w:r w:rsidR="00070E4B">
              <w:t>pkt,</w:t>
            </w:r>
          </w:p>
          <w:p w:rsidR="00E50AF0" w:rsidRDefault="00070E4B">
            <w:pPr>
              <w:rPr>
                <w:rFonts w:hint="eastAsia"/>
              </w:rPr>
            </w:pPr>
            <w:r>
              <w:t>brak autoryzacji -0 pkt.</w:t>
            </w:r>
          </w:p>
        </w:tc>
      </w:tr>
      <w:tr w:rsidR="00E50AF0">
        <w:trPr>
          <w:trHeight w:val="256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Koszty dla urządzań objętych gwarancją będą naliczone dopiero po okresie gwarancyjnym poszczególnych urządzeń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tak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-</w:t>
            </w:r>
          </w:p>
        </w:tc>
      </w:tr>
      <w:tr w:rsidR="00E50AF0">
        <w:trPr>
          <w:trHeight w:val="256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Naprawy i przeglądy na terenie Szpitala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tak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-</w:t>
            </w:r>
          </w:p>
        </w:tc>
      </w:tr>
      <w:tr w:rsidR="00E50AF0">
        <w:trPr>
          <w:trHeight w:val="256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Nieodpłatny sprzęt zastępczy gdy przegląd nie może się odbyć na terenie Szpitala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tak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-</w:t>
            </w:r>
          </w:p>
        </w:tc>
      </w:tr>
      <w:tr w:rsidR="00E50AF0">
        <w:trPr>
          <w:trHeight w:val="537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 xml:space="preserve">Sprzęt zastępczy gdy naprawa przekroczy termin z </w:t>
            </w:r>
            <w:r>
              <w:rPr>
                <w:b/>
                <w:shd w:val="clear" w:color="auto" w:fill="FFFF00"/>
              </w:rPr>
              <w:t>§ 7 ust. 2.</w:t>
            </w:r>
            <w:r>
              <w:t xml:space="preserve"> umowy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tak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-</w:t>
            </w:r>
          </w:p>
        </w:tc>
      </w:tr>
      <w:tr w:rsidR="00E50AF0">
        <w:trPr>
          <w:trHeight w:val="537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 xml:space="preserve">Czas reakcji – </w:t>
            </w:r>
            <w:r>
              <w:rPr>
                <w:b/>
                <w:bCs/>
              </w:rPr>
              <w:t>max. 48h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podać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48h-0pkt.</w:t>
            </w:r>
          </w:p>
          <w:p w:rsidR="00E50AF0" w:rsidRDefault="00070E4B">
            <w:pPr>
              <w:rPr>
                <w:rFonts w:hint="eastAsia"/>
              </w:rPr>
            </w:pPr>
            <w:r>
              <w:t>24h-3pkt.</w:t>
            </w:r>
          </w:p>
        </w:tc>
      </w:tr>
      <w:tr w:rsidR="00E50AF0">
        <w:trPr>
          <w:trHeight w:val="537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 xml:space="preserve">Czas naprawy bez części zamiennych – </w:t>
            </w:r>
            <w:r>
              <w:rPr>
                <w:b/>
                <w:bCs/>
              </w:rPr>
              <w:t>max. 72h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podać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72h-0pkt.</w:t>
            </w:r>
          </w:p>
          <w:p w:rsidR="00E50AF0" w:rsidRDefault="00070E4B">
            <w:pPr>
              <w:rPr>
                <w:rFonts w:hint="eastAsia"/>
              </w:rPr>
            </w:pPr>
            <w:r>
              <w:t>48h-2pkt.</w:t>
            </w:r>
          </w:p>
          <w:p w:rsidR="00E50AF0" w:rsidRDefault="00070E4B">
            <w:pPr>
              <w:rPr>
                <w:rFonts w:hint="eastAsia"/>
              </w:rPr>
            </w:pPr>
            <w:r>
              <w:t>24h-3pkt.</w:t>
            </w:r>
          </w:p>
        </w:tc>
      </w:tr>
      <w:tr w:rsidR="00E50AF0">
        <w:trPr>
          <w:trHeight w:val="537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 xml:space="preserve">Czas naprawy z wyminą części zamiennych – </w:t>
            </w:r>
            <w:r>
              <w:rPr>
                <w:b/>
                <w:bCs/>
              </w:rPr>
              <w:t>max. 5 dni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podać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5dni-0pkt.</w:t>
            </w:r>
          </w:p>
          <w:p w:rsidR="00E50AF0" w:rsidRDefault="00070E4B">
            <w:pPr>
              <w:rPr>
                <w:rFonts w:hint="eastAsia"/>
              </w:rPr>
            </w:pPr>
            <w:r>
              <w:t>4dni-1pkt.</w:t>
            </w:r>
          </w:p>
          <w:p w:rsidR="00E50AF0" w:rsidRDefault="00070E4B">
            <w:pPr>
              <w:rPr>
                <w:rFonts w:hint="eastAsia"/>
              </w:rPr>
            </w:pPr>
            <w:r>
              <w:t>3dni-2pkt.</w:t>
            </w:r>
          </w:p>
          <w:p w:rsidR="00E50AF0" w:rsidRDefault="00070E4B">
            <w:pPr>
              <w:rPr>
                <w:rFonts w:hint="eastAsia"/>
              </w:rPr>
            </w:pPr>
            <w:r>
              <w:t>2dni-3pkt.</w:t>
            </w:r>
          </w:p>
          <w:p w:rsidR="00E50AF0" w:rsidRDefault="00070E4B">
            <w:pPr>
              <w:rPr>
                <w:rFonts w:hint="eastAsia"/>
              </w:rPr>
            </w:pPr>
            <w:r>
              <w:t>1dzień-5pkt.</w:t>
            </w:r>
          </w:p>
        </w:tc>
      </w:tr>
      <w:tr w:rsidR="00E50AF0">
        <w:trPr>
          <w:trHeight w:val="256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Zapewniony dostęp do oryginalnych części oraz legalnej dokumentacji serwisowej producenta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tak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-</w:t>
            </w:r>
          </w:p>
        </w:tc>
      </w:tr>
      <w:tr w:rsidR="00E50AF0">
        <w:trPr>
          <w:trHeight w:val="256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jc w:val="center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Pomiary bezpieczeństwa elektrycznego według normy PN-EN 62353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Tak/Nie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TAK-3pkt.</w:t>
            </w:r>
          </w:p>
          <w:p w:rsidR="00E50AF0" w:rsidRDefault="00070E4B">
            <w:pPr>
              <w:rPr>
                <w:rFonts w:hint="eastAsia"/>
              </w:rPr>
            </w:pPr>
            <w:r>
              <w:t>NIE-0pkt.</w:t>
            </w:r>
          </w:p>
        </w:tc>
      </w:tr>
      <w:tr w:rsidR="00E50AF0">
        <w:trPr>
          <w:trHeight w:val="537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numPr>
                <w:ilvl w:val="0"/>
                <w:numId w:val="1"/>
              </w:numPr>
              <w:ind w:left="737" w:hanging="624"/>
              <w:rPr>
                <w:rFonts w:hint="eastAsia"/>
              </w:rPr>
            </w:pPr>
          </w:p>
        </w:tc>
        <w:tc>
          <w:tcPr>
            <w:tcW w:w="499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Gwarancja na zamontowane części – min. 6 m-</w:t>
            </w:r>
            <w:proofErr w:type="spellStart"/>
            <w:r>
              <w:t>cy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070E4B">
            <w:pPr>
              <w:jc w:val="center"/>
              <w:rPr>
                <w:rFonts w:hint="eastAsia"/>
              </w:rPr>
            </w:pPr>
            <w:r>
              <w:t>Podać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vAlign w:val="bottom"/>
          </w:tcPr>
          <w:p w:rsidR="00E50AF0" w:rsidRDefault="00E50AF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50AF0" w:rsidRDefault="00070E4B">
            <w:pPr>
              <w:rPr>
                <w:rFonts w:hint="eastAsia"/>
              </w:rPr>
            </w:pPr>
            <w:r>
              <w:t>6 m-</w:t>
            </w:r>
            <w:proofErr w:type="spellStart"/>
            <w:r>
              <w:t>cy</w:t>
            </w:r>
            <w:proofErr w:type="spellEnd"/>
            <w:r>
              <w:t xml:space="preserve"> -0pkt.</w:t>
            </w:r>
          </w:p>
          <w:p w:rsidR="00E50AF0" w:rsidRDefault="00070E4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≥</w:t>
            </w:r>
            <w:r>
              <w:t>12 m-</w:t>
            </w:r>
            <w:proofErr w:type="spellStart"/>
            <w:r>
              <w:t>cy</w:t>
            </w:r>
            <w:proofErr w:type="spellEnd"/>
            <w:r>
              <w:t xml:space="preserve"> - 3pkt.</w:t>
            </w:r>
          </w:p>
        </w:tc>
      </w:tr>
    </w:tbl>
    <w:p w:rsidR="00E50AF0" w:rsidRDefault="00E50AF0">
      <w:pPr>
        <w:rPr>
          <w:rFonts w:hint="eastAsia"/>
        </w:rPr>
      </w:pPr>
    </w:p>
    <w:p w:rsidR="00E50AF0" w:rsidRDefault="00070E4B">
      <w:pPr>
        <w:numPr>
          <w:ilvl w:val="0"/>
          <w:numId w:val="2"/>
        </w:numPr>
        <w:rPr>
          <w:rFonts w:hint="eastAsia"/>
        </w:rPr>
      </w:pPr>
      <w:r>
        <w:t>Warunki określone w pkt 2,3,4,5,9 - bezwzględnie wymagane.</w:t>
      </w:r>
    </w:p>
    <w:p w:rsidR="00E50AF0" w:rsidRDefault="00070E4B">
      <w:pPr>
        <w:numPr>
          <w:ilvl w:val="0"/>
          <w:numId w:val="2"/>
        </w:numPr>
        <w:rPr>
          <w:rFonts w:hint="eastAsia"/>
        </w:rPr>
      </w:pPr>
      <w:r>
        <w:t>Pozostałe warunki - maksymalna ilość  pkt. do uzyskania</w:t>
      </w:r>
      <w:r w:rsidR="004F4C0F">
        <w:t xml:space="preserve"> - 5</w:t>
      </w:r>
      <w:bookmarkStart w:id="0" w:name="_GoBack"/>
      <w:bookmarkEnd w:id="0"/>
      <w:r>
        <w:t>7</w:t>
      </w:r>
    </w:p>
    <w:sectPr w:rsidR="00E50AF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0E28"/>
    <w:multiLevelType w:val="multilevel"/>
    <w:tmpl w:val="A7C4B4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7AD3F26"/>
    <w:multiLevelType w:val="multilevel"/>
    <w:tmpl w:val="A3742E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47E47D1"/>
    <w:multiLevelType w:val="multilevel"/>
    <w:tmpl w:val="C908C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F0"/>
    <w:rsid w:val="00070E4B"/>
    <w:rsid w:val="004F4C0F"/>
    <w:rsid w:val="00E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1C41"/>
  <w15:docId w15:val="{6927DB90-A7DD-436C-907A-0C140CAB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customStyle="1" w:styleId="Listauser">
    <w:name w:val="Lista (user)"/>
    <w:basedOn w:val="Tekstpodstawow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C0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C0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3</cp:revision>
  <cp:lastPrinted>2025-04-23T06:56:00Z</cp:lastPrinted>
  <dcterms:created xsi:type="dcterms:W3CDTF">2025-04-11T11:58:00Z</dcterms:created>
  <dcterms:modified xsi:type="dcterms:W3CDTF">2025-04-23T06:56:00Z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2020-05-20T07:39:00Z</dcterms:created>
  <dc:creator/>
  <dc:description/>
  <dc:language>pl-PL</dc:language>
  <cp:lastModifiedBy>Dnikum</cp:lastModifiedBy>
  <cp:lastPrinted>2020-07-31T10:45:00Z</cp:lastPrinted>
  <dcterms:modified xsi:type="dcterms:W3CDTF">2025-04-02T10:00:08Z</dcterms:modified>
  <cp:revision>42</cp:revision>
  <dc:subject/>
  <dc:title/>
</cp:coreProperties>
</file>