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6A481A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6A481A">
        <w:rPr>
          <w:rFonts w:ascii="Arial" w:eastAsia="Times New Roman" w:hAnsi="Arial" w:cs="Arial"/>
          <w:sz w:val="24"/>
          <w:szCs w:val="24"/>
          <w:lang w:eastAsia="pl-PL"/>
        </w:rPr>
        <w:t>MPS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/202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  <w:bookmarkStart w:id="0" w:name="_GoBack"/>
      <w:bookmarkEnd w:id="0"/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</w:t>
      </w:r>
      <w:r w:rsidRPr="00D315E8">
        <w:rPr>
          <w:rFonts w:ascii="Arial" w:eastAsia="Calibri" w:hAnsi="Arial" w:cs="Arial"/>
          <w:b/>
          <w:sz w:val="20"/>
          <w:szCs w:val="20"/>
          <w:lang w:eastAsia="en-GB"/>
        </w:rPr>
        <w:t xml:space="preserve">w </w:t>
      </w:r>
      <w:r w:rsidR="00DB3B0B" w:rsidRPr="00DB3B0B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S: </w:t>
      </w:r>
      <w:r w:rsidR="00F97323">
        <w:rPr>
          <w:rFonts w:ascii="Arial" w:eastAsia="Calibri" w:hAnsi="Arial" w:cs="Arial"/>
          <w:b/>
          <w:sz w:val="20"/>
          <w:szCs w:val="20"/>
          <w:lang w:eastAsia="en-GB"/>
        </w:rPr>
        <w:t>75/2025 248682-2025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3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6A481A" w:rsidP="00AB642C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48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Usługa naprawy cystern paliwowych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587957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1</w:t>
            </w:r>
            <w:r w:rsidR="002B7D1B">
              <w:rPr>
                <w:rFonts w:ascii="Arial" w:eastAsia="Calibri" w:hAnsi="Arial" w:cs="Arial"/>
                <w:sz w:val="20"/>
                <w:szCs w:val="20"/>
                <w:lang w:eastAsia="en-GB"/>
              </w:rPr>
              <w:t>/</w:t>
            </w:r>
            <w:r w:rsidR="006A481A">
              <w:rPr>
                <w:rFonts w:ascii="Arial" w:eastAsia="Calibri" w:hAnsi="Arial" w:cs="Arial"/>
                <w:sz w:val="20"/>
                <w:szCs w:val="20"/>
                <w:lang w:eastAsia="en-GB"/>
              </w:rPr>
              <w:t>MPS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/202</w:t>
            </w: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7F3" w:rsidRDefault="00CB67F3" w:rsidP="007A718D">
      <w:pPr>
        <w:spacing w:after="0" w:line="240" w:lineRule="auto"/>
      </w:pPr>
      <w:r>
        <w:separator/>
      </w:r>
    </w:p>
  </w:endnote>
  <w:endnote w:type="continuationSeparator" w:id="0">
    <w:p w:rsidR="00CB67F3" w:rsidRDefault="00CB67F3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CB67F3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B843A4">
          <w:rPr>
            <w:noProof/>
          </w:rPr>
          <w:t>1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7F3" w:rsidRDefault="00CB67F3" w:rsidP="007A718D">
      <w:pPr>
        <w:spacing w:after="0" w:line="240" w:lineRule="auto"/>
      </w:pPr>
      <w:r>
        <w:separator/>
      </w:r>
    </w:p>
  </w:footnote>
  <w:footnote w:type="continuationSeparator" w:id="0">
    <w:p w:rsidR="00CB67F3" w:rsidRDefault="00CB67F3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  <w:p w:rsidR="00775C93" w:rsidRDefault="00775C93" w:rsidP="007A718D">
      <w:pPr>
        <w:pStyle w:val="Tekstprzypisudolnego"/>
        <w:rPr>
          <w:rFonts w:ascii="Arial" w:hAnsi="Arial" w:cs="Arial"/>
          <w:sz w:val="16"/>
          <w:szCs w:val="16"/>
        </w:rPr>
      </w:pPr>
    </w:p>
    <w:p w:rsidR="00775C93" w:rsidRDefault="00775C93" w:rsidP="00775C93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>
        <w:rPr>
          <w:rFonts w:eastAsia="Calibri" w:cstheme="minorHAnsi"/>
          <w:b/>
          <w:sz w:val="18"/>
          <w:szCs w:val="18"/>
        </w:rPr>
        <w:t>UWAGA</w:t>
      </w:r>
    </w:p>
    <w:p w:rsidR="00775C93" w:rsidRDefault="00775C93" w:rsidP="00775C93">
      <w:pPr>
        <w:spacing w:after="0"/>
        <w:jc w:val="both"/>
        <w:rPr>
          <w:rFonts w:eastAsia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Oświadczenie to Wykonawca dołącza do oferty w odpowiedzi na ogłoszenie o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>
        <w:rPr>
          <w:rFonts w:eastAsia="Calibri" w:cstheme="minorHAnsi"/>
          <w:sz w:val="18"/>
          <w:szCs w:val="18"/>
        </w:rPr>
        <w:tab/>
      </w:r>
    </w:p>
    <w:p w:rsidR="00775C93" w:rsidRPr="003B6373" w:rsidRDefault="00775C93" w:rsidP="007A718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22E88"/>
    <w:rsid w:val="0014447A"/>
    <w:rsid w:val="001C5A04"/>
    <w:rsid w:val="001E5788"/>
    <w:rsid w:val="00252FB3"/>
    <w:rsid w:val="00285C50"/>
    <w:rsid w:val="002B7D1B"/>
    <w:rsid w:val="00327816"/>
    <w:rsid w:val="0035742F"/>
    <w:rsid w:val="00385E36"/>
    <w:rsid w:val="00391164"/>
    <w:rsid w:val="003B3F38"/>
    <w:rsid w:val="003D190A"/>
    <w:rsid w:val="003F45F7"/>
    <w:rsid w:val="004D4D19"/>
    <w:rsid w:val="004F2223"/>
    <w:rsid w:val="00587957"/>
    <w:rsid w:val="005F0313"/>
    <w:rsid w:val="00665D83"/>
    <w:rsid w:val="00691FC9"/>
    <w:rsid w:val="006A481A"/>
    <w:rsid w:val="006D3D5B"/>
    <w:rsid w:val="006D6251"/>
    <w:rsid w:val="006E719D"/>
    <w:rsid w:val="006F72B5"/>
    <w:rsid w:val="007414FE"/>
    <w:rsid w:val="00757BD5"/>
    <w:rsid w:val="007640FD"/>
    <w:rsid w:val="00775C93"/>
    <w:rsid w:val="007A718D"/>
    <w:rsid w:val="007D0CCE"/>
    <w:rsid w:val="007E159C"/>
    <w:rsid w:val="00810D9A"/>
    <w:rsid w:val="00835D4B"/>
    <w:rsid w:val="008E3B3A"/>
    <w:rsid w:val="008E6362"/>
    <w:rsid w:val="0094378E"/>
    <w:rsid w:val="009515B5"/>
    <w:rsid w:val="009F3880"/>
    <w:rsid w:val="00A34CDA"/>
    <w:rsid w:val="00A66807"/>
    <w:rsid w:val="00AB54AE"/>
    <w:rsid w:val="00AB642C"/>
    <w:rsid w:val="00B07CF1"/>
    <w:rsid w:val="00B7649C"/>
    <w:rsid w:val="00B843A4"/>
    <w:rsid w:val="00BA2FF0"/>
    <w:rsid w:val="00C04F55"/>
    <w:rsid w:val="00C321D4"/>
    <w:rsid w:val="00CA6A91"/>
    <w:rsid w:val="00CB67F3"/>
    <w:rsid w:val="00CD106B"/>
    <w:rsid w:val="00CE433F"/>
    <w:rsid w:val="00D30699"/>
    <w:rsid w:val="00D315E8"/>
    <w:rsid w:val="00D64440"/>
    <w:rsid w:val="00D73451"/>
    <w:rsid w:val="00D87034"/>
    <w:rsid w:val="00D93E42"/>
    <w:rsid w:val="00DB3B0B"/>
    <w:rsid w:val="00DC75C1"/>
    <w:rsid w:val="00E5313C"/>
    <w:rsid w:val="00EE1492"/>
    <w:rsid w:val="00F02948"/>
    <w:rsid w:val="00F21CF7"/>
    <w:rsid w:val="00F333A4"/>
    <w:rsid w:val="00F37ED6"/>
    <w:rsid w:val="00F44426"/>
    <w:rsid w:val="00F4777C"/>
    <w:rsid w:val="00F60849"/>
    <w:rsid w:val="00F7546F"/>
    <w:rsid w:val="00F97323"/>
    <w:rsid w:val="00FC1F01"/>
    <w:rsid w:val="00FD40BE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6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4D49EA-6D02-4B13-A2F5-199859DD23E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4467</Words>
  <Characters>26808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32</cp:revision>
  <cp:lastPrinted>2023-10-16T08:55:00Z</cp:lastPrinted>
  <dcterms:created xsi:type="dcterms:W3CDTF">2021-02-18T11:45:00Z</dcterms:created>
  <dcterms:modified xsi:type="dcterms:W3CDTF">2025-04-16T07:23:00Z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