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67CD8F1F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97728C">
        <w:rPr>
          <w:rFonts w:cstheme="minorHAnsi"/>
          <w:b/>
        </w:rPr>
        <w:t>g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05DEBB71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97728C">
        <w:rPr>
          <w:rFonts w:cstheme="minorHAnsi"/>
          <w:b/>
          <w:smallCaps/>
          <w:color w:val="00000A"/>
          <w:sz w:val="32"/>
        </w:rPr>
        <w:t>g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bookmarkStart w:id="0" w:name="_GoBack"/>
      <w:bookmarkEnd w:id="0"/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1B752E07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>
        <w:rPr>
          <w:rFonts w:cstheme="minorHAnsi"/>
          <w:b/>
          <w:bCs/>
          <w:sz w:val="28"/>
          <w:szCs w:val="24"/>
          <w:u w:val="single"/>
        </w:rPr>
        <w:t>r. – odpady o kodzie 17 03 80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62FEBE15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97728C" w:rsidRPr="0097728C">
        <w:rPr>
          <w:rFonts w:cstheme="minorHAnsi"/>
          <w:b/>
          <w:bCs/>
          <w:color w:val="00000A"/>
          <w:lang w:eastAsia="zh-CN" w:bidi="hi-IN"/>
        </w:rPr>
        <w:t>17 03 80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 – odpadowa papa,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63636263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97728C" w:rsidRPr="007901F6">
        <w:rPr>
          <w:rFonts w:cstheme="minorHAnsi"/>
          <w:color w:val="00000A"/>
          <w:lang w:eastAsia="zh-CN" w:bidi="hi-IN"/>
        </w:rPr>
        <w:t>17 03 80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50F700B3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224360">
        <w:rPr>
          <w:rFonts w:eastAsia="Arial Unicode MS" w:cstheme="minorHAnsi"/>
          <w:color w:val="000000"/>
          <w:lang w:eastAsia="zh-CN" w:bidi="hi-IN"/>
        </w:rPr>
        <w:t>17 03 80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2CF8152F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>r. – odpady o kodzie 17 03 80”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131">
          <w:rPr>
            <w:noProof/>
          </w:rPr>
          <w:t>2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131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72411853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3F2EEE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2117F"/>
    <w:rsid w:val="006258A6"/>
    <w:rsid w:val="00634CAA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</Pages>
  <Words>4941</Words>
  <Characters>29651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19</cp:revision>
  <cp:lastPrinted>2018-02-13T11:34:00Z</cp:lastPrinted>
  <dcterms:created xsi:type="dcterms:W3CDTF">2021-10-04T07:32:00Z</dcterms:created>
  <dcterms:modified xsi:type="dcterms:W3CDTF">2024-10-23T13:30:00Z</dcterms:modified>
</cp:coreProperties>
</file>