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A67F9" w14:textId="562F4688" w:rsidR="001979A8" w:rsidRPr="001979A8" w:rsidRDefault="001979A8" w:rsidP="001979A8">
      <w:pPr>
        <w:keepNext/>
        <w:keepLines/>
        <w:spacing w:line="276" w:lineRule="auto"/>
        <w:jc w:val="both"/>
        <w:rPr>
          <w:rFonts w:ascii="Calibri" w:hAnsi="Calibri" w:cs="Calibri"/>
        </w:rPr>
      </w:pPr>
      <w:r w:rsidRPr="001979A8">
        <w:rPr>
          <w:rFonts w:ascii="Calibri" w:hAnsi="Calibri" w:cs="Calibri"/>
          <w:b/>
        </w:rPr>
        <w:t>nr referencyjny ZP.271.20.2024</w:t>
      </w:r>
      <w:r w:rsidRPr="001979A8">
        <w:rPr>
          <w:rFonts w:ascii="Calibri" w:hAnsi="Calibri" w:cs="Calibri"/>
        </w:rPr>
        <w:tab/>
      </w:r>
      <w:r w:rsidRPr="001979A8">
        <w:rPr>
          <w:rFonts w:ascii="Calibri" w:hAnsi="Calibri" w:cs="Calibri"/>
        </w:rPr>
        <w:tab/>
      </w:r>
      <w:r w:rsidRPr="001979A8">
        <w:rPr>
          <w:rFonts w:ascii="Calibri" w:hAnsi="Calibri" w:cs="Calibri"/>
        </w:rPr>
        <w:tab/>
      </w:r>
      <w:r>
        <w:rPr>
          <w:rFonts w:ascii="Calibri" w:hAnsi="Calibri" w:cs="Calibri"/>
        </w:rPr>
        <w:t xml:space="preserve">                    </w:t>
      </w:r>
      <w:r w:rsidRPr="001979A8">
        <w:rPr>
          <w:rFonts w:ascii="Calibri" w:hAnsi="Calibri" w:cs="Calibri"/>
        </w:rPr>
        <w:t>Aleksandrów Łódzki, dn. 20.12.2024 r.</w:t>
      </w:r>
    </w:p>
    <w:p w14:paraId="5D73A8ED" w14:textId="77777777" w:rsidR="001979A8" w:rsidRPr="001979A8" w:rsidRDefault="001979A8" w:rsidP="001979A8">
      <w:pPr>
        <w:keepNext/>
        <w:keepLines/>
        <w:tabs>
          <w:tab w:val="left" w:pos="600"/>
          <w:tab w:val="center" w:pos="4535"/>
        </w:tabs>
        <w:spacing w:line="276" w:lineRule="auto"/>
        <w:rPr>
          <w:rFonts w:ascii="Calibri" w:hAnsi="Calibri" w:cs="Calibri"/>
          <w:b/>
          <w:u w:val="single"/>
        </w:rPr>
      </w:pPr>
    </w:p>
    <w:p w14:paraId="39247479" w14:textId="77777777" w:rsidR="001979A8" w:rsidRPr="001979A8" w:rsidRDefault="001979A8" w:rsidP="001979A8">
      <w:pPr>
        <w:keepNext/>
        <w:keepLines/>
        <w:tabs>
          <w:tab w:val="left" w:pos="600"/>
          <w:tab w:val="center" w:pos="4535"/>
        </w:tabs>
        <w:spacing w:line="276" w:lineRule="auto"/>
        <w:jc w:val="center"/>
        <w:rPr>
          <w:rFonts w:ascii="Calibri" w:hAnsi="Calibri" w:cs="Calibri"/>
          <w:b/>
          <w:u w:val="single"/>
        </w:rPr>
      </w:pPr>
      <w:r w:rsidRPr="001979A8">
        <w:rPr>
          <w:rFonts w:ascii="Calibri" w:hAnsi="Calibri" w:cs="Calibri"/>
          <w:b/>
          <w:u w:val="single"/>
        </w:rPr>
        <w:t>Wyjaśnienie treści SWZ</w:t>
      </w:r>
    </w:p>
    <w:p w14:paraId="469520C5" w14:textId="77777777" w:rsidR="001979A8" w:rsidRPr="001979A8" w:rsidRDefault="001979A8" w:rsidP="001979A8">
      <w:pPr>
        <w:keepNext/>
        <w:keepLines/>
        <w:spacing w:line="276" w:lineRule="auto"/>
        <w:ind w:left="3540"/>
        <w:rPr>
          <w:rFonts w:ascii="Calibri" w:hAnsi="Calibri" w:cs="Calibri"/>
          <w:b/>
          <w:u w:val="single"/>
        </w:rPr>
      </w:pPr>
    </w:p>
    <w:p w14:paraId="62170519" w14:textId="77777777" w:rsidR="001979A8" w:rsidRPr="001979A8" w:rsidRDefault="001979A8" w:rsidP="001979A8">
      <w:pPr>
        <w:keepNext/>
        <w:keepLines/>
        <w:jc w:val="center"/>
        <w:rPr>
          <w:rFonts w:ascii="Calibri" w:hAnsi="Calibri" w:cs="Calibri"/>
          <w:b/>
          <w:u w:val="single"/>
        </w:rPr>
      </w:pPr>
      <w:r w:rsidRPr="001979A8">
        <w:rPr>
          <w:rFonts w:ascii="Calibri" w:hAnsi="Calibri" w:cs="Calibri"/>
          <w:b/>
          <w:u w:val="single"/>
        </w:rPr>
        <w:t>Dotyczy postępowania o udzielenie zamówienia publicznego prowadzonego w</w:t>
      </w:r>
      <w:r w:rsidRPr="001979A8">
        <w:rPr>
          <w:rFonts w:ascii="Calibri" w:hAnsi="Calibri" w:cs="Calibri"/>
          <w:u w:val="single"/>
        </w:rPr>
        <w:t xml:space="preserve"> </w:t>
      </w:r>
      <w:r w:rsidRPr="001979A8">
        <w:rPr>
          <w:rFonts w:ascii="Calibri" w:hAnsi="Calibri" w:cs="Calibri"/>
          <w:b/>
          <w:u w:val="single"/>
        </w:rPr>
        <w:t>trybie przetargu nieograniczonego pn.</w:t>
      </w:r>
    </w:p>
    <w:p w14:paraId="282B80A0" w14:textId="5976ECF8" w:rsidR="001979A8" w:rsidRPr="001979A8" w:rsidRDefault="001979A8" w:rsidP="001979A8">
      <w:pPr>
        <w:keepNext/>
        <w:keepLines/>
        <w:spacing w:line="276" w:lineRule="auto"/>
        <w:jc w:val="center"/>
        <w:rPr>
          <w:rFonts w:ascii="Calibri" w:hAnsi="Calibri" w:cs="Calibri"/>
          <w:b/>
        </w:rPr>
      </w:pPr>
      <w:r w:rsidRPr="001979A8">
        <w:rPr>
          <w:rFonts w:ascii="Calibri" w:hAnsi="Calibri" w:cs="Calibri"/>
          <w:b/>
        </w:rPr>
        <w:t xml:space="preserve"> „Odbiór i zagospodarowanie odpadów komunalnych od właścicieli nieruchomości zamieszkałych z terenu Gminy Aleksandrów Łódzki”</w:t>
      </w:r>
    </w:p>
    <w:p w14:paraId="27F24D39" w14:textId="75E7E571" w:rsidR="001979A8" w:rsidRPr="001979A8" w:rsidRDefault="001979A8" w:rsidP="001979A8">
      <w:pPr>
        <w:spacing w:before="100" w:beforeAutospacing="1" w:after="100" w:afterAutospacing="1" w:line="276" w:lineRule="auto"/>
        <w:rPr>
          <w:rFonts w:ascii="Calibri" w:hAnsi="Calibri" w:cs="Calibri"/>
          <w:color w:val="000000"/>
        </w:rPr>
      </w:pPr>
      <w:r w:rsidRPr="001979A8">
        <w:rPr>
          <w:rFonts w:ascii="Calibri" w:hAnsi="Calibri" w:cs="Calibri"/>
        </w:rPr>
        <w:t>Działając na podstawie</w:t>
      </w:r>
      <w:r w:rsidRPr="001979A8">
        <w:rPr>
          <w:rFonts w:ascii="Calibri" w:hAnsi="Calibri" w:cs="Calibri"/>
          <w:b/>
          <w:bCs/>
          <w:i/>
          <w:iCs/>
        </w:rPr>
        <w:t xml:space="preserve"> </w:t>
      </w:r>
      <w:r w:rsidRPr="001979A8">
        <w:rPr>
          <w:rFonts w:ascii="Calibri" w:hAnsi="Calibri" w:cs="Calibri"/>
        </w:rPr>
        <w:t>art. 135 ust. 2</w:t>
      </w:r>
      <w:r w:rsidRPr="001979A8">
        <w:rPr>
          <w:rFonts w:ascii="Calibri" w:hAnsi="Calibri" w:cs="Calibri"/>
          <w:b/>
          <w:bCs/>
          <w:i/>
          <w:iCs/>
        </w:rPr>
        <w:t xml:space="preserve"> </w:t>
      </w:r>
      <w:r w:rsidRPr="001979A8">
        <w:rPr>
          <w:rFonts w:ascii="Calibri" w:hAnsi="Calibri" w:cs="Calibri"/>
          <w:bCs/>
        </w:rPr>
        <w:t>ustawy z dnia 11 września 2019 r. – Prawo zamówień publicznych (</w:t>
      </w:r>
      <w:proofErr w:type="spellStart"/>
      <w:r w:rsidRPr="001979A8">
        <w:rPr>
          <w:rFonts w:ascii="Calibri" w:hAnsi="Calibri" w:cs="Calibri"/>
          <w:bCs/>
        </w:rPr>
        <w:t>t.j</w:t>
      </w:r>
      <w:proofErr w:type="spellEnd"/>
      <w:r w:rsidRPr="001979A8">
        <w:rPr>
          <w:rFonts w:ascii="Calibri" w:hAnsi="Calibri" w:cs="Calibri"/>
          <w:bCs/>
        </w:rPr>
        <w:t>. Dz. U. z 2024 r. poz. 1320),</w:t>
      </w:r>
      <w:r w:rsidRPr="001979A8">
        <w:rPr>
          <w:rFonts w:ascii="Calibri" w:hAnsi="Calibri" w:cs="Calibri"/>
        </w:rPr>
        <w:t xml:space="preserve"> </w:t>
      </w:r>
      <w:r w:rsidRPr="001979A8">
        <w:rPr>
          <w:rFonts w:ascii="Calibri" w:hAnsi="Calibri" w:cs="Calibri"/>
          <w:color w:val="000000"/>
        </w:rPr>
        <w:t>Zamawiający przekazuje poniżej treść zapytania, które wpłynęło do Zamawiającego wraz z wyjaśnieniami:</w:t>
      </w:r>
    </w:p>
    <w:p w14:paraId="11137240" w14:textId="5CE6AE57" w:rsidR="00630634" w:rsidRDefault="001979A8" w:rsidP="00621729">
      <w:pPr>
        <w:pStyle w:val="Standard"/>
        <w:tabs>
          <w:tab w:val="left" w:pos="2895"/>
        </w:tabs>
        <w:spacing w:after="0" w:line="240" w:lineRule="auto"/>
        <w:rPr>
          <w:rFonts w:asciiTheme="minorHAnsi" w:hAnsiTheme="minorHAnsi" w:cstheme="minorHAnsi"/>
          <w:b/>
          <w:sz w:val="24"/>
          <w:szCs w:val="24"/>
        </w:rPr>
      </w:pPr>
      <w:r>
        <w:rPr>
          <w:rFonts w:asciiTheme="minorHAnsi" w:hAnsiTheme="minorHAnsi" w:cstheme="minorHAnsi"/>
          <w:b/>
          <w:sz w:val="24"/>
          <w:szCs w:val="24"/>
        </w:rPr>
        <w:t>Pytanie:</w:t>
      </w:r>
    </w:p>
    <w:p w14:paraId="18BB3865" w14:textId="33B83A4B" w:rsidR="001979A8" w:rsidRDefault="001979A8" w:rsidP="00621729">
      <w:pPr>
        <w:pStyle w:val="Standard"/>
        <w:tabs>
          <w:tab w:val="left" w:pos="2895"/>
        </w:tabs>
        <w:spacing w:after="0" w:line="240" w:lineRule="auto"/>
        <w:rPr>
          <w:rFonts w:asciiTheme="minorHAnsi" w:hAnsiTheme="minorHAnsi" w:cstheme="minorHAnsi"/>
          <w:b/>
          <w:sz w:val="24"/>
          <w:szCs w:val="24"/>
        </w:rPr>
      </w:pPr>
    </w:p>
    <w:p w14:paraId="32804CF3" w14:textId="77777777" w:rsidR="001979A8" w:rsidRPr="001979A8" w:rsidRDefault="001979A8" w:rsidP="001979A8">
      <w:pPr>
        <w:pStyle w:val="Standard"/>
        <w:tabs>
          <w:tab w:val="left" w:pos="2895"/>
        </w:tabs>
        <w:rPr>
          <w:rFonts w:cs="Calibri"/>
          <w:sz w:val="24"/>
          <w:szCs w:val="24"/>
        </w:rPr>
      </w:pPr>
      <w:r w:rsidRPr="001979A8">
        <w:rPr>
          <w:rFonts w:cs="Calibri"/>
          <w:sz w:val="24"/>
          <w:szCs w:val="24"/>
        </w:rPr>
        <w:t>Przedmiotem zamówienia są usługi odbioru, transportu i zagospodarowania odpadów komunalnych w sposób zapewniający osiągnięcie odpowiednich poziomów recyklingu, przygotowania do ponownego użycia zgodnie z zapisami ustawy z dnia 13 września 1996 r. o utrzymaniu czystości i porządku w gminach.</w:t>
      </w:r>
    </w:p>
    <w:p w14:paraId="7F14C8CF" w14:textId="77777777" w:rsidR="001979A8" w:rsidRPr="001979A8" w:rsidRDefault="001979A8" w:rsidP="001979A8">
      <w:pPr>
        <w:pStyle w:val="Standard"/>
        <w:tabs>
          <w:tab w:val="left" w:pos="2895"/>
        </w:tabs>
        <w:rPr>
          <w:rFonts w:cs="Calibri"/>
          <w:sz w:val="24"/>
          <w:szCs w:val="24"/>
        </w:rPr>
      </w:pPr>
      <w:r w:rsidRPr="001979A8">
        <w:rPr>
          <w:rFonts w:cs="Calibri"/>
          <w:sz w:val="24"/>
          <w:szCs w:val="24"/>
        </w:rPr>
        <w:t>Zgodnie z zapisami § 4 ust. 2 pkt 1) oraz § 23 pkt. 15 projektu umowy Wykonawca zobowiązany jest do osiągnięcia odpowiednich poziomów recyklingu, przygotowania do ponownego użycia i odzysku innymi metodami oraz ograniczenia masy odpadów komunalnych ulegających biodegradacji przekazywanych do składowania zgodnie z art. 3b, art. 3c i 9g ustawy z dnia 13 września 1996 r. o utrzymaniu czystości i porządku w gminach, w szczególności poprzez przekazywanie odebranych odpadów z papieru, metalu, szkła, tworzyw sztucznych do recyklingu;</w:t>
      </w:r>
    </w:p>
    <w:p w14:paraId="5B68B8CA" w14:textId="77777777" w:rsidR="001979A8" w:rsidRPr="001979A8" w:rsidRDefault="001979A8" w:rsidP="001979A8">
      <w:pPr>
        <w:pStyle w:val="Standard"/>
        <w:tabs>
          <w:tab w:val="left" w:pos="2895"/>
        </w:tabs>
        <w:rPr>
          <w:rFonts w:cs="Calibri"/>
          <w:sz w:val="24"/>
          <w:szCs w:val="24"/>
        </w:rPr>
      </w:pPr>
      <w:r w:rsidRPr="001979A8">
        <w:rPr>
          <w:rFonts w:cs="Calibri"/>
          <w:sz w:val="24"/>
          <w:szCs w:val="24"/>
        </w:rPr>
        <w:t>W § 23 pkt. 15 wzoru umowy Zamawiający przewidział kary umowne za nieosiągnięcie poziomów recyklingu, o których mowa w § 4 ust. 2 pkt. 2)</w:t>
      </w:r>
    </w:p>
    <w:p w14:paraId="3DA10B57" w14:textId="1536D469" w:rsidR="001979A8" w:rsidRDefault="001979A8" w:rsidP="001979A8">
      <w:pPr>
        <w:pStyle w:val="Standard"/>
        <w:tabs>
          <w:tab w:val="left" w:pos="2895"/>
        </w:tabs>
        <w:spacing w:after="0" w:line="240" w:lineRule="auto"/>
        <w:rPr>
          <w:rFonts w:cs="Calibri"/>
          <w:sz w:val="24"/>
          <w:szCs w:val="24"/>
        </w:rPr>
      </w:pPr>
      <w:r w:rsidRPr="001979A8">
        <w:rPr>
          <w:rFonts w:cs="Calibri"/>
          <w:sz w:val="24"/>
          <w:szCs w:val="24"/>
        </w:rPr>
        <w:t>15) za niewykonanie obowiązku o którym mowa w §4 ust. 2. pkt 2) - za każdy rok w wysokości stanowiącej iloczyn jednostkowej stawki opłaty za umieszczenie niesegregowanych (zmieszanych) odpadów komunalnych na składowisku, określonej w przepisach wydanych na podstawie art. 290 ust. 2 ustawy z dnia 27 kwietnia 2001 r. - Prawo ochrony środowiska, i brakującej masy odpadów komunalnych wyrażonej w Mg, wymaganej do osiągnięcia odpowiedniego poziomu z zastrzeżeniem, że wyliczenie poziomu będzie następowało w odniesieniu do strumienia odpadów odebranego przez Wykonawcę w ramach realizacji przedmiotu zamówienia,</w:t>
      </w:r>
    </w:p>
    <w:p w14:paraId="737F8ED1" w14:textId="2CD407F6" w:rsidR="001979A8" w:rsidRDefault="001979A8" w:rsidP="001979A8">
      <w:pPr>
        <w:pStyle w:val="Standard"/>
        <w:tabs>
          <w:tab w:val="left" w:pos="2895"/>
        </w:tabs>
        <w:spacing w:after="0" w:line="240" w:lineRule="auto"/>
        <w:rPr>
          <w:rFonts w:cs="Calibri"/>
          <w:sz w:val="24"/>
          <w:szCs w:val="24"/>
        </w:rPr>
      </w:pPr>
    </w:p>
    <w:p w14:paraId="64C0CD44" w14:textId="77777777" w:rsidR="001979A8" w:rsidRPr="001979A8" w:rsidRDefault="001979A8" w:rsidP="001979A8">
      <w:pPr>
        <w:pStyle w:val="Standard"/>
        <w:tabs>
          <w:tab w:val="left" w:pos="2895"/>
        </w:tabs>
        <w:rPr>
          <w:rFonts w:cs="Calibri"/>
          <w:b/>
          <w:sz w:val="24"/>
          <w:szCs w:val="24"/>
        </w:rPr>
      </w:pPr>
      <w:r w:rsidRPr="001979A8">
        <w:rPr>
          <w:rFonts w:cs="Calibri"/>
          <w:b/>
          <w:sz w:val="24"/>
          <w:szCs w:val="24"/>
        </w:rPr>
        <w:t>Wnosimy o usunięcie zapisów § 4 ust.2 pkt.1 oraz § 23 pkt. 15 wzoru umowy - regulacji o karach umownych nakładanych na wykonawcę za nieosiągnięcie poziomów recyklingu.</w:t>
      </w:r>
    </w:p>
    <w:p w14:paraId="5D423ED5" w14:textId="70FF6295" w:rsidR="001979A8" w:rsidRDefault="001979A8" w:rsidP="001979A8">
      <w:pPr>
        <w:pStyle w:val="Standard"/>
        <w:tabs>
          <w:tab w:val="left" w:pos="2895"/>
        </w:tabs>
        <w:spacing w:after="0" w:line="240" w:lineRule="auto"/>
        <w:rPr>
          <w:rFonts w:cs="Calibri"/>
          <w:b/>
          <w:sz w:val="24"/>
          <w:szCs w:val="24"/>
        </w:rPr>
      </w:pPr>
      <w:r w:rsidRPr="001979A8">
        <w:rPr>
          <w:rFonts w:cs="Calibri"/>
          <w:b/>
          <w:sz w:val="24"/>
          <w:szCs w:val="24"/>
        </w:rPr>
        <w:lastRenderedPageBreak/>
        <w:t>Powyższy wniosek opieramy na bieżącym orzecznictwie KIO dotyczącym kar za nieosiąganie poziomów recyklingu (np. wyrok KIO z dnia 20 listopada 2023 r. sygn. KIO 3247/23) oraz wejściem w życie od 1 października 2025 r. tzw. systemu kaucyjnego.</w:t>
      </w:r>
    </w:p>
    <w:p w14:paraId="1075E20C" w14:textId="1B11A7FE" w:rsidR="001979A8" w:rsidRDefault="001979A8" w:rsidP="001979A8">
      <w:pPr>
        <w:pStyle w:val="Standard"/>
        <w:tabs>
          <w:tab w:val="left" w:pos="2895"/>
        </w:tabs>
        <w:spacing w:after="0" w:line="240" w:lineRule="auto"/>
        <w:rPr>
          <w:rFonts w:cs="Calibri"/>
          <w:b/>
          <w:sz w:val="24"/>
          <w:szCs w:val="24"/>
        </w:rPr>
      </w:pPr>
    </w:p>
    <w:p w14:paraId="06CB58F3" w14:textId="77777777" w:rsidR="001979A8" w:rsidRPr="001979A8" w:rsidRDefault="001979A8" w:rsidP="001979A8">
      <w:pPr>
        <w:pStyle w:val="Standard"/>
        <w:tabs>
          <w:tab w:val="left" w:pos="2895"/>
        </w:tabs>
        <w:rPr>
          <w:rFonts w:cs="Calibri"/>
          <w:sz w:val="24"/>
          <w:szCs w:val="24"/>
        </w:rPr>
      </w:pPr>
      <w:r w:rsidRPr="001979A8">
        <w:rPr>
          <w:rFonts w:cs="Calibri"/>
          <w:sz w:val="24"/>
          <w:szCs w:val="24"/>
        </w:rPr>
        <w:t>Wejście w życie systemu kaucyjnego jest konsekwencją wejścia w życie ustawy z dnia 13 lipca 2023 r. o zmianie ustawy o gospodarce opakowaniami i odpadami opakowaniowymi oraz niektórych innych ustaw - dalej ustawa kaucyjna.</w:t>
      </w:r>
    </w:p>
    <w:p w14:paraId="422021E4" w14:textId="77777777" w:rsidR="001979A8" w:rsidRPr="001979A8" w:rsidRDefault="001979A8" w:rsidP="001979A8">
      <w:pPr>
        <w:pStyle w:val="Standard"/>
        <w:tabs>
          <w:tab w:val="left" w:pos="2895"/>
        </w:tabs>
        <w:rPr>
          <w:rFonts w:cs="Calibri"/>
          <w:sz w:val="24"/>
          <w:szCs w:val="24"/>
        </w:rPr>
      </w:pPr>
      <w:r w:rsidRPr="001979A8">
        <w:rPr>
          <w:rFonts w:cs="Calibri"/>
          <w:sz w:val="24"/>
          <w:szCs w:val="24"/>
        </w:rPr>
        <w:t>Zgodnie z ustawą kaucyjną, następujące opakowania będą objęte systemem kaucyjnym:</w:t>
      </w:r>
    </w:p>
    <w:p w14:paraId="39A320B2" w14:textId="55A8DFD7" w:rsidR="001979A8" w:rsidRPr="001979A8" w:rsidRDefault="001979A8" w:rsidP="001979A8">
      <w:pPr>
        <w:pStyle w:val="Standard"/>
        <w:tabs>
          <w:tab w:val="left" w:pos="2895"/>
        </w:tabs>
        <w:ind w:left="142" w:hanging="142"/>
        <w:rPr>
          <w:rFonts w:cs="Calibri"/>
          <w:sz w:val="24"/>
          <w:szCs w:val="24"/>
        </w:rPr>
      </w:pPr>
      <w:r>
        <w:rPr>
          <w:rFonts w:cs="Calibri"/>
          <w:sz w:val="24"/>
          <w:szCs w:val="24"/>
        </w:rPr>
        <w:t xml:space="preserve">- </w:t>
      </w:r>
      <w:r w:rsidRPr="001979A8">
        <w:rPr>
          <w:rFonts w:cs="Calibri"/>
          <w:sz w:val="24"/>
          <w:szCs w:val="24"/>
        </w:rPr>
        <w:t>butelki jednorazowego użytku z tworzyw sztucznych na napoje o pojemności do 3 l, włącznie z ich zakrętkami i wieczkami z tworzyw sztucznych, z wyłączeniem szklanych lub metalowych butelek na napoje, których zakrętki i wieczka są wykonane z tworzyw sztucznych,</w:t>
      </w:r>
    </w:p>
    <w:p w14:paraId="67AF020A" w14:textId="65FF13EE" w:rsidR="001979A8" w:rsidRPr="001979A8" w:rsidRDefault="001979A8" w:rsidP="001979A8">
      <w:pPr>
        <w:pStyle w:val="Standard"/>
        <w:tabs>
          <w:tab w:val="left" w:pos="2895"/>
        </w:tabs>
        <w:rPr>
          <w:rFonts w:cs="Calibri"/>
          <w:sz w:val="24"/>
          <w:szCs w:val="24"/>
        </w:rPr>
      </w:pPr>
      <w:r>
        <w:rPr>
          <w:rFonts w:cs="Calibri"/>
          <w:sz w:val="24"/>
          <w:szCs w:val="24"/>
        </w:rPr>
        <w:t xml:space="preserve">- </w:t>
      </w:r>
      <w:r w:rsidRPr="001979A8">
        <w:rPr>
          <w:rFonts w:cs="Calibri"/>
          <w:sz w:val="24"/>
          <w:szCs w:val="24"/>
        </w:rPr>
        <w:t>puszki metalowe o pojemności do 1 l,</w:t>
      </w:r>
    </w:p>
    <w:p w14:paraId="2F08911E" w14:textId="48591116" w:rsidR="001979A8" w:rsidRPr="001979A8" w:rsidRDefault="001979A8" w:rsidP="001979A8">
      <w:pPr>
        <w:pStyle w:val="Standard"/>
        <w:tabs>
          <w:tab w:val="left" w:pos="2895"/>
        </w:tabs>
        <w:rPr>
          <w:rFonts w:cs="Calibri"/>
          <w:sz w:val="24"/>
          <w:szCs w:val="24"/>
        </w:rPr>
      </w:pPr>
      <w:r>
        <w:rPr>
          <w:rFonts w:cs="Calibri"/>
          <w:sz w:val="24"/>
          <w:szCs w:val="24"/>
        </w:rPr>
        <w:t xml:space="preserve">- </w:t>
      </w:r>
      <w:r w:rsidRPr="001979A8">
        <w:rPr>
          <w:rFonts w:cs="Calibri"/>
          <w:sz w:val="24"/>
          <w:szCs w:val="24"/>
        </w:rPr>
        <w:t>butelki szklane wielokrotnego użytku</w:t>
      </w:r>
    </w:p>
    <w:p w14:paraId="76B3F2C7" w14:textId="77777777" w:rsidR="001979A8" w:rsidRPr="001979A8" w:rsidRDefault="001979A8" w:rsidP="001979A8">
      <w:pPr>
        <w:pStyle w:val="Standard"/>
        <w:tabs>
          <w:tab w:val="left" w:pos="2895"/>
        </w:tabs>
        <w:rPr>
          <w:rFonts w:cs="Calibri"/>
          <w:sz w:val="24"/>
          <w:szCs w:val="24"/>
        </w:rPr>
      </w:pPr>
      <w:r w:rsidRPr="001979A8">
        <w:rPr>
          <w:rFonts w:cs="Calibri"/>
          <w:sz w:val="24"/>
          <w:szCs w:val="24"/>
        </w:rPr>
        <w:t>Obowiązki te są nierozerwalnie związane ze zmienionymi poziomami selektywnego zbierania opakowań i odpadów opakowaniowych. Wyniosą one:</w:t>
      </w:r>
    </w:p>
    <w:p w14:paraId="6ED5F101" w14:textId="7ECED6A2" w:rsidR="001979A8" w:rsidRPr="001979A8" w:rsidRDefault="001979A8" w:rsidP="001979A8">
      <w:pPr>
        <w:pStyle w:val="Standard"/>
        <w:tabs>
          <w:tab w:val="left" w:pos="2895"/>
        </w:tabs>
        <w:rPr>
          <w:rFonts w:cs="Calibri"/>
          <w:sz w:val="24"/>
          <w:szCs w:val="24"/>
        </w:rPr>
      </w:pPr>
      <w:r>
        <w:rPr>
          <w:rFonts w:cs="Calibri"/>
          <w:sz w:val="24"/>
          <w:szCs w:val="24"/>
        </w:rPr>
        <w:t xml:space="preserve">- </w:t>
      </w:r>
      <w:r w:rsidRPr="001979A8">
        <w:rPr>
          <w:rFonts w:cs="Calibri"/>
          <w:sz w:val="24"/>
          <w:szCs w:val="24"/>
        </w:rPr>
        <w:t>w 2025 roku – 55%;</w:t>
      </w:r>
    </w:p>
    <w:p w14:paraId="27107A7B" w14:textId="46B61DE1" w:rsidR="001979A8" w:rsidRPr="001979A8" w:rsidRDefault="001979A8" w:rsidP="001979A8">
      <w:pPr>
        <w:pStyle w:val="Standard"/>
        <w:tabs>
          <w:tab w:val="left" w:pos="2895"/>
        </w:tabs>
        <w:rPr>
          <w:rFonts w:cs="Calibri"/>
          <w:sz w:val="24"/>
          <w:szCs w:val="24"/>
        </w:rPr>
      </w:pPr>
      <w:r>
        <w:rPr>
          <w:rFonts w:cs="Calibri"/>
          <w:sz w:val="24"/>
          <w:szCs w:val="24"/>
        </w:rPr>
        <w:t xml:space="preserve">- </w:t>
      </w:r>
      <w:r w:rsidRPr="001979A8">
        <w:rPr>
          <w:rFonts w:cs="Calibri"/>
          <w:sz w:val="24"/>
          <w:szCs w:val="24"/>
        </w:rPr>
        <w:t>w 2026 roku – 56%;</w:t>
      </w:r>
    </w:p>
    <w:p w14:paraId="3E378B9D" w14:textId="77777777" w:rsidR="001979A8" w:rsidRPr="001979A8" w:rsidRDefault="001979A8" w:rsidP="001979A8">
      <w:pPr>
        <w:pStyle w:val="Standard"/>
        <w:tabs>
          <w:tab w:val="left" w:pos="2895"/>
        </w:tabs>
        <w:rPr>
          <w:rFonts w:cs="Calibri"/>
          <w:sz w:val="24"/>
          <w:szCs w:val="24"/>
        </w:rPr>
      </w:pPr>
      <w:r w:rsidRPr="001979A8">
        <w:rPr>
          <w:rFonts w:cs="Calibri"/>
          <w:sz w:val="24"/>
          <w:szCs w:val="24"/>
        </w:rPr>
        <w:t>System kaucyjny spowoduje, że systemu wypadną opakowania objęte kaucją (puszki, butelki). Mieszkańcy będą je odrębnie oddawać do punktów właściwych i otrzymywać za opakowania zwrot kaucji. Tym samym prognozuje się, że spadną w sposób istotny poziomy recyklingu uzyskiwane przez podmioty odbierające i zagospodarowujące odpady komunalne.</w:t>
      </w:r>
    </w:p>
    <w:p w14:paraId="73F3D216" w14:textId="77777777" w:rsidR="001979A8" w:rsidRPr="001979A8" w:rsidRDefault="001979A8" w:rsidP="001979A8">
      <w:pPr>
        <w:pStyle w:val="Standard"/>
        <w:tabs>
          <w:tab w:val="left" w:pos="2895"/>
        </w:tabs>
        <w:rPr>
          <w:rFonts w:cs="Calibri"/>
          <w:sz w:val="24"/>
          <w:szCs w:val="24"/>
        </w:rPr>
      </w:pPr>
      <w:r w:rsidRPr="001979A8">
        <w:rPr>
          <w:rFonts w:cs="Calibri"/>
          <w:sz w:val="24"/>
          <w:szCs w:val="24"/>
        </w:rPr>
        <w:t>W ogólnym rozrachunku te odpady pozostaną w systemie. Gmina będzie mogła je wykazywać w składanych sprawozdaniach i utrzymywać wymagane poziomy recyklingu. Takich możliwości nie będą miały podmioty odbierające odpady – odpady objęte kaucją nie będą przez te podmioty odbierane.</w:t>
      </w:r>
    </w:p>
    <w:p w14:paraId="0F667F3D" w14:textId="51056D23" w:rsidR="001979A8" w:rsidRDefault="001979A8" w:rsidP="001979A8">
      <w:pPr>
        <w:pStyle w:val="Standard"/>
        <w:tabs>
          <w:tab w:val="left" w:pos="2895"/>
        </w:tabs>
        <w:spacing w:after="0" w:line="240" w:lineRule="auto"/>
        <w:rPr>
          <w:rFonts w:cs="Calibri"/>
          <w:sz w:val="24"/>
          <w:szCs w:val="24"/>
        </w:rPr>
      </w:pPr>
      <w:r w:rsidRPr="001979A8">
        <w:rPr>
          <w:rFonts w:cs="Calibri"/>
          <w:sz w:val="24"/>
          <w:szCs w:val="24"/>
        </w:rPr>
        <w:t>Mając na uwadze uwarunkowania rynku odbioru odpadów KIO wydała w ostatnim czasie rozstrzygnięcia zobowiązujące Zamawiających do usunięcia ze wzorów umów zapisy dot. kar za nieosiągnięcie poziomów recyklingu, np. wyrok z dnia 20 listopada 2023 r. sygn. KIO 3247/23, gdzie Krajowa Izba Odwoławcza wskazała, że wzięła pod uwagę istniejące uwarunkowania rynku recyklingu. W postępowaniu wskazywano, załączając artykuły prasowe odnoszące się m.in. do ustawy kaucyjnej, że wykonawca ma niezwykle ograniczony zakres działań, które może podjąć a które mają lub mogą mieć wpływ na osiągnięcie wymaganych poziomów odzysku i recyklingu.</w:t>
      </w:r>
    </w:p>
    <w:p w14:paraId="5838AB69" w14:textId="2B3D2F37" w:rsidR="001979A8" w:rsidRDefault="001979A8" w:rsidP="001979A8">
      <w:pPr>
        <w:pStyle w:val="Standard"/>
        <w:tabs>
          <w:tab w:val="left" w:pos="2895"/>
        </w:tabs>
        <w:spacing w:after="0" w:line="240" w:lineRule="auto"/>
        <w:rPr>
          <w:rFonts w:cs="Calibri"/>
          <w:sz w:val="24"/>
          <w:szCs w:val="24"/>
        </w:rPr>
      </w:pPr>
    </w:p>
    <w:p w14:paraId="58EC106E" w14:textId="77777777" w:rsidR="001979A8" w:rsidRPr="001979A8" w:rsidRDefault="001979A8" w:rsidP="001979A8">
      <w:pPr>
        <w:pStyle w:val="Standard"/>
        <w:tabs>
          <w:tab w:val="left" w:pos="2895"/>
        </w:tabs>
        <w:rPr>
          <w:rFonts w:cs="Calibri"/>
          <w:sz w:val="24"/>
          <w:szCs w:val="24"/>
        </w:rPr>
      </w:pPr>
      <w:r w:rsidRPr="001979A8">
        <w:rPr>
          <w:rFonts w:cs="Calibri"/>
          <w:sz w:val="24"/>
          <w:szCs w:val="24"/>
        </w:rPr>
        <w:lastRenderedPageBreak/>
        <w:t>Poprzez próbę obciążenia wykonawcy karami umownymi za nieosiągnięcie przez wykonawcę poziomów recyklingu, Zamawiający zmierza do przerzucenia obowiązku realizacji zadań własnych gminy w całości na podmiot trzeci, który, w oczywisty sposób nie dysponuje odpowiednimi instrumentami celem wykonania tych zadań, przerzucenia ryzyka finansowego związanego z brakiem osiągnięcia poziomów recyklingu przez gminy na taki podmiot trzeci, a w konsekwencji do pozbycia się przez gminy zarówno części zadań własnych, jak też uwolnienia się od sankcji administracyjnych w tym zakresie. W ocenie wykonawców odbierających odpady, są to założenia i cele w oczywisty sposób sprzeczne z prawem, gdyż prowadzą do całkowitej utraty przez gminę zainteresowania podejmowaniem przez ich ograny działań w zakresie osiągania wymaganych poziomów recyklingu, m.in. działań edukacyjnych, działań propagujących należytą segregację, działań organizacyjnych i działań sankcyjnych względem mieszkańców nierealizujących obowiązku selektywnej zbiórki odpadów.</w:t>
      </w:r>
    </w:p>
    <w:p w14:paraId="2BD79611" w14:textId="77777777" w:rsidR="001979A8" w:rsidRPr="001979A8" w:rsidRDefault="001979A8" w:rsidP="001979A8">
      <w:pPr>
        <w:pStyle w:val="Standard"/>
        <w:tabs>
          <w:tab w:val="left" w:pos="2895"/>
        </w:tabs>
        <w:rPr>
          <w:rFonts w:cs="Calibri"/>
          <w:sz w:val="24"/>
          <w:szCs w:val="24"/>
        </w:rPr>
      </w:pPr>
      <w:r w:rsidRPr="001979A8">
        <w:rPr>
          <w:rFonts w:cs="Calibri"/>
          <w:sz w:val="24"/>
          <w:szCs w:val="24"/>
        </w:rPr>
        <w:t>Wykonawca nie może odpowiadać w stopniu przewidzianym przez Zamawiającego za brak osiągniętych poziomów recyklingu, ponieważ ich osiągnięcie zależy od wielu czynników, które w większości przypadków są całkowicie niezależne od wykonawcy. Wykonawca nie ma żadnego wpływu ani na ilość, ani na rodzaj wytworzonych na terenie Gminy odpadów komunalnych. Równie istotne znaczenie ma okoliczność, że Wykonawca nie ma swobody wyboru instalacji, do których będzie</w:t>
      </w:r>
      <w:r>
        <w:rPr>
          <w:rFonts w:cs="Calibri"/>
          <w:sz w:val="24"/>
          <w:szCs w:val="24"/>
        </w:rPr>
        <w:t xml:space="preserve"> </w:t>
      </w:r>
      <w:r w:rsidRPr="001979A8">
        <w:rPr>
          <w:rFonts w:cs="Calibri"/>
          <w:sz w:val="24"/>
          <w:szCs w:val="24"/>
        </w:rPr>
        <w:t>przekazywać odpady do zagospodarowania. Ponadto należy podkreślić, że ilość surowców możliwych do poddania recyklingowi w strumieniu odpadów komunalnych może się istotnie zmniejszyć z uwagi na wprowadzenie w Polsce systemu kaucyjnego od 1 października 2025 r. Do systemu kaucyjnego trafią łatwo poddające się recyklingowi odpady - jednorazowe butelki z plastiku o pojemności do 3 litrów, szklane butelki wielorazowego użytku oraz metalowe puszki o pojemności do 1 litra. Co istotne Zamawiający będzie miał możliwość wliczenia tych odpadów do osiąganych przez Gminę poziomów. Z perspektywy wykonawcy, są to cenne surowce, które odpłyną ze strumienia odpadów objętych przedmiotem zamówienia.</w:t>
      </w:r>
    </w:p>
    <w:p w14:paraId="08A4DC27" w14:textId="77777777" w:rsidR="001979A8" w:rsidRPr="001979A8" w:rsidRDefault="001979A8" w:rsidP="001979A8">
      <w:pPr>
        <w:pStyle w:val="Standard"/>
        <w:tabs>
          <w:tab w:val="left" w:pos="2895"/>
        </w:tabs>
        <w:rPr>
          <w:rFonts w:cs="Calibri"/>
          <w:sz w:val="24"/>
          <w:szCs w:val="24"/>
        </w:rPr>
      </w:pPr>
      <w:r w:rsidRPr="001979A8">
        <w:rPr>
          <w:rFonts w:cs="Calibri"/>
          <w:sz w:val="24"/>
          <w:szCs w:val="24"/>
        </w:rPr>
        <w:t xml:space="preserve">Odnosząc się do kar umownych, jakie przewidział w projektach umów, wskazać należy, że w ujęciu art. 483 k.c. i art. 484 k.c., kara umowna stanowi ryczałtowo określony surogat odszkodowania należnego wierzycielowi z tytułu odpowiedzialności kontraktowej dłużnika. Zastrzeżona przez strony stosunku obligacyjnego kara umowna należy się zatem wierzycielowi tylko wtedy, gdy niewykonanie lub nienależyte wykonanie przez dłużnika zobowiązania niepieniężnego jest następstwem okoliczności, za które on ponosi odpowiedzialność (art. 471 k.c.). Zakres odpowiedzialności z tytułu kary umownej pokrywać się powinien z zakresem ogólnej odpowiedzialności dłużnika za niewykonanie lub nienależyte wykonanie zobowiązania. Wynika to zarówno z celu kary umownej, jak i umiejscowienia samych przepisów jej dotyczących. Tymczasem Zamawiający przewidział nałożenie na Wykonawcę kar umownych za nieosiągnięcie poziomów odzysku i recyklingu, w sytuacji gdy nieosiągnięcie tych poziomów nie jest uzależnione wyłącznie od działań Wykonawcy, w </w:t>
      </w:r>
      <w:r w:rsidRPr="001979A8">
        <w:rPr>
          <w:rFonts w:cs="Calibri"/>
          <w:sz w:val="24"/>
          <w:szCs w:val="24"/>
        </w:rPr>
        <w:lastRenderedPageBreak/>
        <w:t>sytuacji gdy jedynie w niewielkim stopniu jego działania mogą przyczynić się do osiągnięcia ww. poziomów.</w:t>
      </w:r>
    </w:p>
    <w:p w14:paraId="65491A09" w14:textId="47583A8C" w:rsidR="001979A8" w:rsidRDefault="001979A8" w:rsidP="001979A8">
      <w:pPr>
        <w:pStyle w:val="Standard"/>
        <w:tabs>
          <w:tab w:val="left" w:pos="2895"/>
        </w:tabs>
        <w:spacing w:after="0" w:line="240" w:lineRule="auto"/>
        <w:rPr>
          <w:rFonts w:cs="Calibri"/>
          <w:sz w:val="24"/>
          <w:szCs w:val="24"/>
        </w:rPr>
      </w:pPr>
      <w:r w:rsidRPr="001979A8">
        <w:rPr>
          <w:rFonts w:cs="Calibri"/>
          <w:sz w:val="24"/>
          <w:szCs w:val="24"/>
        </w:rPr>
        <w:t>Mając na uwadze powyższe, wnoszę jak na wstępie.</w:t>
      </w:r>
    </w:p>
    <w:p w14:paraId="1ECAD817" w14:textId="037ECA62" w:rsidR="00362809" w:rsidRDefault="00362809" w:rsidP="001979A8">
      <w:pPr>
        <w:pStyle w:val="Standard"/>
        <w:tabs>
          <w:tab w:val="left" w:pos="2895"/>
        </w:tabs>
        <w:spacing w:after="0" w:line="240" w:lineRule="auto"/>
        <w:rPr>
          <w:rFonts w:cs="Calibri"/>
          <w:sz w:val="24"/>
          <w:szCs w:val="24"/>
        </w:rPr>
      </w:pPr>
    </w:p>
    <w:p w14:paraId="3226CFDE" w14:textId="420224D6" w:rsidR="00362809" w:rsidRDefault="00362809" w:rsidP="001979A8">
      <w:pPr>
        <w:pStyle w:val="Standard"/>
        <w:tabs>
          <w:tab w:val="left" w:pos="2895"/>
        </w:tabs>
        <w:spacing w:after="0" w:line="240" w:lineRule="auto"/>
        <w:rPr>
          <w:rFonts w:cs="Calibri"/>
          <w:b/>
          <w:sz w:val="24"/>
          <w:szCs w:val="24"/>
        </w:rPr>
      </w:pPr>
      <w:r w:rsidRPr="00362809">
        <w:rPr>
          <w:rFonts w:cs="Calibri"/>
          <w:b/>
          <w:sz w:val="24"/>
          <w:szCs w:val="24"/>
        </w:rPr>
        <w:t>Odpowiedź:</w:t>
      </w:r>
    </w:p>
    <w:p w14:paraId="03BD7CD9" w14:textId="044ECB48" w:rsidR="00362809" w:rsidRPr="00362809" w:rsidRDefault="00362809" w:rsidP="00362809">
      <w:pPr>
        <w:rPr>
          <w:rFonts w:ascii="Calibri" w:hAnsi="Calibri" w:cs="Calibri"/>
          <w:color w:val="000000"/>
        </w:rPr>
      </w:pPr>
      <w:r w:rsidRPr="00362809">
        <w:rPr>
          <w:rFonts w:ascii="Calibri" w:hAnsi="Calibri" w:cs="Calibri"/>
          <w:color w:val="000000"/>
        </w:rPr>
        <w:t>Zamawiający przychyla się w całości do wniosku i usu</w:t>
      </w:r>
      <w:r>
        <w:rPr>
          <w:rFonts w:ascii="Calibri" w:hAnsi="Calibri" w:cs="Calibri"/>
          <w:color w:val="000000"/>
        </w:rPr>
        <w:t xml:space="preserve">wa zapisy </w:t>
      </w:r>
      <w:r w:rsidRPr="00362809">
        <w:rPr>
          <w:rFonts w:ascii="Calibri" w:hAnsi="Calibri" w:cs="Calibri"/>
          <w:color w:val="000000"/>
        </w:rPr>
        <w:t>§</w:t>
      </w:r>
      <w:r w:rsidR="00331100">
        <w:rPr>
          <w:rFonts w:ascii="Calibri" w:hAnsi="Calibri" w:cs="Calibri"/>
          <w:color w:val="000000"/>
        </w:rPr>
        <w:t xml:space="preserve"> </w:t>
      </w:r>
      <w:r w:rsidRPr="00362809">
        <w:rPr>
          <w:rFonts w:ascii="Calibri" w:hAnsi="Calibri" w:cs="Calibri"/>
          <w:color w:val="000000"/>
        </w:rPr>
        <w:t>4 ust.2 pkt.1 oraz § 23 pkt. 15 wzoru umowy</w:t>
      </w:r>
    </w:p>
    <w:p w14:paraId="674BF0E5" w14:textId="77777777" w:rsidR="00362809" w:rsidRDefault="00362809" w:rsidP="001979A8">
      <w:pPr>
        <w:pStyle w:val="Standard"/>
        <w:tabs>
          <w:tab w:val="left" w:pos="2895"/>
        </w:tabs>
        <w:spacing w:after="0" w:line="240" w:lineRule="auto"/>
        <w:rPr>
          <w:rFonts w:cs="Calibri"/>
          <w:b/>
          <w:sz w:val="24"/>
          <w:szCs w:val="24"/>
        </w:rPr>
      </w:pPr>
    </w:p>
    <w:p w14:paraId="49EFAB47" w14:textId="77777777" w:rsidR="00362809" w:rsidRPr="00362809" w:rsidRDefault="00362809" w:rsidP="001979A8">
      <w:pPr>
        <w:pStyle w:val="Standard"/>
        <w:tabs>
          <w:tab w:val="left" w:pos="2895"/>
        </w:tabs>
        <w:spacing w:after="0" w:line="240" w:lineRule="auto"/>
        <w:rPr>
          <w:rFonts w:cs="Calibri"/>
          <w:b/>
          <w:sz w:val="24"/>
          <w:szCs w:val="24"/>
        </w:rPr>
      </w:pPr>
    </w:p>
    <w:p w14:paraId="5815EE03" w14:textId="77777777" w:rsidR="00362809" w:rsidRPr="001979A8" w:rsidRDefault="00362809" w:rsidP="001979A8">
      <w:pPr>
        <w:pStyle w:val="Standard"/>
        <w:tabs>
          <w:tab w:val="left" w:pos="2895"/>
        </w:tabs>
        <w:spacing w:after="0" w:line="240" w:lineRule="auto"/>
        <w:rPr>
          <w:rFonts w:cs="Calibri"/>
          <w:sz w:val="24"/>
          <w:szCs w:val="24"/>
        </w:rPr>
      </w:pPr>
    </w:p>
    <w:p w14:paraId="419BE916" w14:textId="77777777" w:rsidR="004E58A1" w:rsidRPr="00290AA8" w:rsidRDefault="004E58A1" w:rsidP="00621729">
      <w:pPr>
        <w:widowControl w:val="0"/>
        <w:ind w:left="4963" w:firstLine="709"/>
        <w:rPr>
          <w:rFonts w:asciiTheme="minorHAnsi" w:hAnsiTheme="minorHAnsi" w:cstheme="minorHAnsi"/>
          <w:bCs/>
        </w:rPr>
      </w:pPr>
    </w:p>
    <w:p w14:paraId="2B6DE1BC" w14:textId="77777777" w:rsidR="004E58A1" w:rsidRDefault="004E58A1" w:rsidP="00621729">
      <w:pPr>
        <w:widowControl w:val="0"/>
        <w:ind w:left="4963" w:firstLine="709"/>
        <w:rPr>
          <w:rFonts w:asciiTheme="minorHAnsi" w:hAnsiTheme="minorHAnsi" w:cstheme="minorHAnsi"/>
          <w:bCs/>
        </w:rPr>
      </w:pPr>
    </w:p>
    <w:p w14:paraId="17A06EE7" w14:textId="77777777" w:rsidR="001D7F87" w:rsidRPr="00FF25E0" w:rsidRDefault="001D7F87" w:rsidP="001D7F87">
      <w:pPr>
        <w:widowControl w:val="0"/>
        <w:spacing w:line="276" w:lineRule="auto"/>
        <w:ind w:left="5672" w:firstLine="709"/>
        <w:rPr>
          <w:rFonts w:ascii="Tahoma" w:hAnsi="Tahoma" w:cs="Tahoma"/>
          <w:bCs/>
          <w:sz w:val="22"/>
          <w:szCs w:val="22"/>
        </w:rPr>
      </w:pPr>
      <w:r w:rsidRPr="00FF25E0">
        <w:rPr>
          <w:rFonts w:ascii="Tahoma" w:hAnsi="Tahoma" w:cs="Tahoma"/>
          <w:bCs/>
          <w:sz w:val="22"/>
          <w:szCs w:val="22"/>
        </w:rPr>
        <w:t>Z up. BURMISTRZA</w:t>
      </w:r>
    </w:p>
    <w:p w14:paraId="00CB6093" w14:textId="77777777" w:rsidR="001D7F87" w:rsidRPr="00FF25E0" w:rsidRDefault="001D7F87" w:rsidP="001D7F87">
      <w:pPr>
        <w:widowControl w:val="0"/>
        <w:spacing w:line="276" w:lineRule="auto"/>
        <w:ind w:left="6381" w:firstLine="709"/>
        <w:rPr>
          <w:rFonts w:ascii="Tahoma" w:hAnsi="Tahoma" w:cs="Tahoma"/>
          <w:bCs/>
          <w:sz w:val="22"/>
          <w:szCs w:val="22"/>
        </w:rPr>
      </w:pPr>
      <w:r w:rsidRPr="00FF25E0">
        <w:rPr>
          <w:rFonts w:ascii="Tahoma" w:hAnsi="Tahoma" w:cs="Tahoma"/>
          <w:bCs/>
          <w:sz w:val="22"/>
          <w:szCs w:val="22"/>
        </w:rPr>
        <w:t>/-/</w:t>
      </w:r>
    </w:p>
    <w:p w14:paraId="154493EA" w14:textId="77777777" w:rsidR="001D7F87" w:rsidRPr="00FF25E0" w:rsidRDefault="001D7F87" w:rsidP="001D7F87">
      <w:pPr>
        <w:widowControl w:val="0"/>
        <w:spacing w:line="276" w:lineRule="auto"/>
        <w:ind w:left="5673" w:firstLine="708"/>
        <w:rPr>
          <w:rFonts w:ascii="Tahoma" w:hAnsi="Tahoma" w:cs="Tahoma"/>
          <w:bCs/>
          <w:sz w:val="22"/>
          <w:szCs w:val="22"/>
        </w:rPr>
      </w:pPr>
      <w:r w:rsidRPr="00FF25E0">
        <w:rPr>
          <w:rFonts w:ascii="Tahoma" w:hAnsi="Tahoma" w:cs="Tahoma"/>
          <w:bCs/>
          <w:sz w:val="22"/>
          <w:szCs w:val="22"/>
        </w:rPr>
        <w:t>Leszek Filipiak</w:t>
      </w:r>
    </w:p>
    <w:p w14:paraId="02EB2771" w14:textId="77777777" w:rsidR="001D7F87" w:rsidRPr="00FF25E0" w:rsidRDefault="001D7F87" w:rsidP="001D7F87">
      <w:pPr>
        <w:widowControl w:val="0"/>
        <w:spacing w:line="276" w:lineRule="auto"/>
        <w:ind w:left="6381"/>
        <w:rPr>
          <w:rFonts w:ascii="Tahoma" w:hAnsi="Tahoma" w:cs="Tahoma"/>
          <w:bCs/>
          <w:sz w:val="22"/>
          <w:szCs w:val="22"/>
        </w:rPr>
      </w:pPr>
      <w:r w:rsidRPr="00FF25E0">
        <w:rPr>
          <w:rFonts w:ascii="Tahoma" w:hAnsi="Tahoma" w:cs="Tahoma"/>
          <w:bCs/>
          <w:sz w:val="22"/>
          <w:szCs w:val="22"/>
        </w:rPr>
        <w:t>ZASTĘPCA BURMISTRZA</w:t>
      </w:r>
    </w:p>
    <w:p w14:paraId="029C2647" w14:textId="47209537" w:rsidR="00317A7C" w:rsidRDefault="00317A7C" w:rsidP="00621729">
      <w:pPr>
        <w:keepNext/>
        <w:keepLines/>
        <w:ind w:left="2836"/>
        <w:jc w:val="center"/>
        <w:rPr>
          <w:rFonts w:asciiTheme="minorHAnsi" w:hAnsiTheme="minorHAnsi" w:cstheme="minorHAnsi"/>
          <w:b/>
          <w:bCs/>
        </w:rPr>
      </w:pPr>
      <w:bookmarkStart w:id="0" w:name="_GoBack"/>
      <w:bookmarkEnd w:id="0"/>
    </w:p>
    <w:p w14:paraId="6A2592CE" w14:textId="77777777" w:rsidR="00317A7C" w:rsidRDefault="00317A7C" w:rsidP="00621729">
      <w:pPr>
        <w:keepNext/>
        <w:keepLines/>
        <w:ind w:left="2836"/>
        <w:jc w:val="center"/>
        <w:rPr>
          <w:rFonts w:asciiTheme="minorHAnsi" w:hAnsiTheme="minorHAnsi" w:cstheme="minorHAnsi"/>
          <w:b/>
          <w:bCs/>
        </w:rPr>
      </w:pPr>
    </w:p>
    <w:p w14:paraId="327EA2E2" w14:textId="77777777" w:rsidR="00A80AE8" w:rsidRPr="00A80AE8" w:rsidRDefault="00A80AE8" w:rsidP="00317A7C">
      <w:pPr>
        <w:keepNext/>
        <w:keepLines/>
        <w:ind w:left="2836"/>
        <w:jc w:val="center"/>
        <w:rPr>
          <w:rFonts w:ascii="Tahoma" w:hAnsi="Tahoma" w:cs="Tahoma"/>
          <w:bCs/>
        </w:rPr>
      </w:pPr>
    </w:p>
    <w:sectPr w:rsidR="00A80AE8" w:rsidRPr="00A80AE8" w:rsidSect="00E368D7">
      <w:headerReference w:type="default" r:id="rId8"/>
      <w:footerReference w:type="default" r:id="rId9"/>
      <w:headerReference w:type="first" r:id="rId10"/>
      <w:footerReference w:type="first" r:id="rId11"/>
      <w:pgSz w:w="11906" w:h="16838" w:code="9"/>
      <w:pgMar w:top="1440" w:right="1080" w:bottom="1440" w:left="1080" w:header="28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651FD" w14:textId="77777777" w:rsidR="00BD7EED" w:rsidRDefault="00BD7EED">
      <w:r>
        <w:separator/>
      </w:r>
    </w:p>
  </w:endnote>
  <w:endnote w:type="continuationSeparator" w:id="0">
    <w:p w14:paraId="62349593" w14:textId="77777777" w:rsidR="00BD7EED" w:rsidRDefault="00BD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auto"/>
    <w:pitch w:val="default"/>
  </w:font>
  <w:font w:name="OpenSymbol">
    <w:altName w:val="Arial Unicode MS"/>
    <w:charset w:val="8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033457"/>
      <w:docPartObj>
        <w:docPartGallery w:val="Page Numbers (Bottom of Page)"/>
        <w:docPartUnique/>
      </w:docPartObj>
    </w:sdtPr>
    <w:sdtEndPr/>
    <w:sdtContent>
      <w:p w14:paraId="0F94B782" w14:textId="6C248490" w:rsidR="00E368D7" w:rsidRDefault="00E368D7">
        <w:pPr>
          <w:pStyle w:val="Stopka"/>
          <w:jc w:val="center"/>
        </w:pPr>
        <w:r>
          <w:fldChar w:fldCharType="begin"/>
        </w:r>
        <w:r>
          <w:instrText>PAGE   \* MERGEFORMAT</w:instrText>
        </w:r>
        <w:r>
          <w:fldChar w:fldCharType="separate"/>
        </w:r>
        <w:r w:rsidR="001D7F87">
          <w:rPr>
            <w:noProof/>
          </w:rPr>
          <w:t>3</w:t>
        </w:r>
        <w:r>
          <w:fldChar w:fldCharType="end"/>
        </w:r>
      </w:p>
    </w:sdtContent>
  </w:sdt>
  <w:p w14:paraId="0AFE9AAA" w14:textId="5E53C6BA" w:rsidR="00936754" w:rsidRPr="008B52A6" w:rsidRDefault="00936754" w:rsidP="00AA08F5">
    <w:pPr>
      <w:pStyle w:val="Stopka"/>
      <w:jc w:val="right"/>
      <w:rPr>
        <w:rFonts w:ascii="Tahoma" w:hAnsi="Tahoma" w:cs="Tahom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167468"/>
      <w:docPartObj>
        <w:docPartGallery w:val="Page Numbers (Bottom of Page)"/>
        <w:docPartUnique/>
      </w:docPartObj>
    </w:sdtPr>
    <w:sdtEndPr/>
    <w:sdtContent>
      <w:p w14:paraId="652A953E" w14:textId="3FC000C7" w:rsidR="00E368D7" w:rsidRDefault="00E368D7">
        <w:pPr>
          <w:pStyle w:val="Stopka"/>
          <w:jc w:val="right"/>
        </w:pPr>
        <w:r>
          <w:fldChar w:fldCharType="begin"/>
        </w:r>
        <w:r>
          <w:instrText>PAGE   \* MERGEFORMAT</w:instrText>
        </w:r>
        <w:r>
          <w:fldChar w:fldCharType="separate"/>
        </w:r>
        <w:r>
          <w:rPr>
            <w:noProof/>
          </w:rPr>
          <w:t>1</w:t>
        </w:r>
        <w:r>
          <w:fldChar w:fldCharType="end"/>
        </w:r>
      </w:p>
    </w:sdtContent>
  </w:sdt>
  <w:p w14:paraId="51D3EFAC" w14:textId="20DD4EF3" w:rsidR="00307F8C" w:rsidRPr="00AA08F5" w:rsidRDefault="00307F8C" w:rsidP="00AA08F5">
    <w:pPr>
      <w:pStyle w:val="Stopka"/>
      <w:jc w:val="right"/>
      <w:rPr>
        <w:rFonts w:ascii="Tahoma" w:hAnsi="Tahoma" w:cs="Tahoma"/>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D9BAB" w14:textId="77777777" w:rsidR="00BD7EED" w:rsidRDefault="00BD7EED">
      <w:r>
        <w:separator/>
      </w:r>
    </w:p>
  </w:footnote>
  <w:footnote w:type="continuationSeparator" w:id="0">
    <w:p w14:paraId="77935B2D" w14:textId="77777777" w:rsidR="00BD7EED" w:rsidRDefault="00BD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A8155" w14:textId="77777777" w:rsidR="00936754" w:rsidRDefault="00AA08F5" w:rsidP="00422EAC">
    <w:pPr>
      <w:pStyle w:val="Nagwek"/>
      <w:pBdr>
        <w:bottom w:val="single" w:sz="4" w:space="1" w:color="auto"/>
      </w:pBdr>
    </w:pPr>
    <w:r w:rsidRPr="00B00C20">
      <w:rPr>
        <w:noProof/>
      </w:rPr>
      <w:drawing>
        <wp:inline distT="0" distB="0" distL="0" distR="0" wp14:anchorId="0B7A96BF" wp14:editId="78F5DB80">
          <wp:extent cx="5753100" cy="1257300"/>
          <wp:effectExtent l="0" t="0" r="0" b="0"/>
          <wp:docPr id="3" name="Obraz 3"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p w14:paraId="619084F3" w14:textId="77777777" w:rsidR="00936754" w:rsidRDefault="009367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3A" w14:textId="77777777" w:rsidR="00936754" w:rsidRDefault="00307F8C" w:rsidP="00422EAC">
    <w:pPr>
      <w:pStyle w:val="Nagwek"/>
      <w:pBdr>
        <w:bottom w:val="single" w:sz="4" w:space="1" w:color="auto"/>
      </w:pBdr>
    </w:pPr>
    <w:r w:rsidRPr="00B00C20">
      <w:rPr>
        <w:noProof/>
      </w:rPr>
      <w:drawing>
        <wp:inline distT="0" distB="0" distL="0" distR="0" wp14:anchorId="17C06D9E" wp14:editId="4C3A0EB4">
          <wp:extent cx="5753100" cy="1257300"/>
          <wp:effectExtent l="0" t="0" r="0" b="0"/>
          <wp:docPr id="1"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StarSymbol"/>
        <w:color w:val="7E0021"/>
        <w:sz w:val="12"/>
        <w:szCs w:val="12"/>
        <w:lang w:eastAsia="ar-SA" w:bidi="ar-SA"/>
      </w:rPr>
    </w:lvl>
    <w:lvl w:ilvl="1">
      <w:start w:val="1"/>
      <w:numFmt w:val="bullet"/>
      <w:lvlText w:val="◦"/>
      <w:lvlJc w:val="left"/>
      <w:pPr>
        <w:tabs>
          <w:tab w:val="num" w:pos="1080"/>
        </w:tabs>
        <w:ind w:left="1080" w:hanging="360"/>
      </w:pPr>
      <w:rPr>
        <w:rFonts w:ascii="OpenSymbol" w:hAnsi="OpenSymbol" w:cs="StarSymbol"/>
        <w:sz w:val="12"/>
        <w:szCs w:val="12"/>
      </w:rPr>
    </w:lvl>
    <w:lvl w:ilvl="2">
      <w:start w:val="1"/>
      <w:numFmt w:val="bullet"/>
      <w:lvlText w:val="▪"/>
      <w:lvlJc w:val="left"/>
      <w:pPr>
        <w:tabs>
          <w:tab w:val="num" w:pos="1440"/>
        </w:tabs>
        <w:ind w:left="1440" w:hanging="360"/>
      </w:pPr>
      <w:rPr>
        <w:rFonts w:ascii="OpenSymbol" w:hAnsi="OpenSymbol" w:cs="StarSymbol"/>
        <w:sz w:val="12"/>
        <w:szCs w:val="12"/>
      </w:rPr>
    </w:lvl>
    <w:lvl w:ilvl="3">
      <w:start w:val="1"/>
      <w:numFmt w:val="bullet"/>
      <w:lvlText w:val=""/>
      <w:lvlJc w:val="left"/>
      <w:pPr>
        <w:tabs>
          <w:tab w:val="num" w:pos="1800"/>
        </w:tabs>
        <w:ind w:left="1800" w:hanging="360"/>
      </w:pPr>
      <w:rPr>
        <w:rFonts w:ascii="Wingdings 2" w:hAnsi="Wingdings 2" w:cs="StarSymbol"/>
        <w:color w:val="7E0021"/>
        <w:sz w:val="12"/>
        <w:szCs w:val="12"/>
        <w:lang w:eastAsia="ar-SA" w:bidi="ar-SA"/>
      </w:rPr>
    </w:lvl>
    <w:lvl w:ilvl="4">
      <w:start w:val="1"/>
      <w:numFmt w:val="bullet"/>
      <w:lvlText w:val="◦"/>
      <w:lvlJc w:val="left"/>
      <w:pPr>
        <w:tabs>
          <w:tab w:val="num" w:pos="2160"/>
        </w:tabs>
        <w:ind w:left="2160" w:hanging="360"/>
      </w:pPr>
      <w:rPr>
        <w:rFonts w:ascii="OpenSymbol" w:hAnsi="OpenSymbol" w:cs="StarSymbol"/>
        <w:sz w:val="12"/>
        <w:szCs w:val="12"/>
      </w:rPr>
    </w:lvl>
    <w:lvl w:ilvl="5">
      <w:start w:val="1"/>
      <w:numFmt w:val="bullet"/>
      <w:lvlText w:val="▪"/>
      <w:lvlJc w:val="left"/>
      <w:pPr>
        <w:tabs>
          <w:tab w:val="num" w:pos="2520"/>
        </w:tabs>
        <w:ind w:left="2520" w:hanging="360"/>
      </w:pPr>
      <w:rPr>
        <w:rFonts w:ascii="OpenSymbol" w:hAnsi="OpenSymbol" w:cs="StarSymbol"/>
        <w:sz w:val="12"/>
        <w:szCs w:val="12"/>
      </w:rPr>
    </w:lvl>
    <w:lvl w:ilvl="6">
      <w:start w:val="1"/>
      <w:numFmt w:val="bullet"/>
      <w:lvlText w:val=""/>
      <w:lvlJc w:val="left"/>
      <w:pPr>
        <w:tabs>
          <w:tab w:val="num" w:pos="2880"/>
        </w:tabs>
        <w:ind w:left="2880" w:hanging="360"/>
      </w:pPr>
      <w:rPr>
        <w:rFonts w:ascii="Wingdings 2" w:hAnsi="Wingdings 2" w:cs="StarSymbol"/>
        <w:color w:val="7E0021"/>
        <w:sz w:val="12"/>
        <w:szCs w:val="12"/>
        <w:lang w:eastAsia="ar-SA" w:bidi="ar-SA"/>
      </w:rPr>
    </w:lvl>
    <w:lvl w:ilvl="7">
      <w:start w:val="1"/>
      <w:numFmt w:val="bullet"/>
      <w:lvlText w:val="◦"/>
      <w:lvlJc w:val="left"/>
      <w:pPr>
        <w:tabs>
          <w:tab w:val="num" w:pos="3240"/>
        </w:tabs>
        <w:ind w:left="3240" w:hanging="360"/>
      </w:pPr>
      <w:rPr>
        <w:rFonts w:ascii="OpenSymbol" w:hAnsi="OpenSymbol" w:cs="StarSymbol"/>
        <w:sz w:val="12"/>
        <w:szCs w:val="12"/>
      </w:rPr>
    </w:lvl>
    <w:lvl w:ilvl="8">
      <w:start w:val="1"/>
      <w:numFmt w:val="bullet"/>
      <w:lvlText w:val="▪"/>
      <w:lvlJc w:val="left"/>
      <w:pPr>
        <w:tabs>
          <w:tab w:val="num" w:pos="3600"/>
        </w:tabs>
        <w:ind w:left="3600" w:hanging="360"/>
      </w:pPr>
      <w:rPr>
        <w:rFonts w:ascii="OpenSymbol" w:hAnsi="OpenSymbol" w:cs="StarSymbol"/>
        <w:sz w:val="12"/>
        <w:szCs w:val="12"/>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Cs w:val="26"/>
        <w:lang w:val="pl-PL"/>
      </w:rPr>
    </w:lvl>
    <w:lvl w:ilvl="1">
      <w:start w:val="1"/>
      <w:numFmt w:val="bullet"/>
      <w:lvlText w:val="◦"/>
      <w:lvlJc w:val="left"/>
      <w:pPr>
        <w:tabs>
          <w:tab w:val="num" w:pos="1080"/>
        </w:tabs>
        <w:ind w:left="1080" w:hanging="360"/>
      </w:pPr>
      <w:rPr>
        <w:rFonts w:ascii="OpenSymbol" w:hAnsi="OpenSymbol" w:cs="OpenSymbol"/>
        <w:color w:val="000000"/>
        <w:szCs w:val="26"/>
      </w:rPr>
    </w:lvl>
    <w:lvl w:ilvl="2">
      <w:start w:val="1"/>
      <w:numFmt w:val="bullet"/>
      <w:lvlText w:val="▪"/>
      <w:lvlJc w:val="left"/>
      <w:pPr>
        <w:tabs>
          <w:tab w:val="num" w:pos="1440"/>
        </w:tabs>
        <w:ind w:left="1440" w:hanging="360"/>
      </w:pPr>
      <w:rPr>
        <w:rFonts w:ascii="OpenSymbol" w:hAnsi="OpenSymbol" w:cs="OpenSymbol"/>
        <w:color w:val="000000"/>
        <w:szCs w:val="26"/>
      </w:rPr>
    </w:lvl>
    <w:lvl w:ilvl="3">
      <w:start w:val="1"/>
      <w:numFmt w:val="bullet"/>
      <w:lvlText w:val=""/>
      <w:lvlJc w:val="left"/>
      <w:pPr>
        <w:tabs>
          <w:tab w:val="num" w:pos="1800"/>
        </w:tabs>
        <w:ind w:left="1800" w:hanging="360"/>
      </w:pPr>
      <w:rPr>
        <w:rFonts w:ascii="Symbol" w:hAnsi="Symbol" w:cs="OpenSymbol"/>
        <w:color w:val="000000"/>
        <w:szCs w:val="26"/>
        <w:lang w:val="pl-PL"/>
      </w:rPr>
    </w:lvl>
    <w:lvl w:ilvl="4">
      <w:start w:val="1"/>
      <w:numFmt w:val="bullet"/>
      <w:lvlText w:val="◦"/>
      <w:lvlJc w:val="left"/>
      <w:pPr>
        <w:tabs>
          <w:tab w:val="num" w:pos="2160"/>
        </w:tabs>
        <w:ind w:left="2160" w:hanging="360"/>
      </w:pPr>
      <w:rPr>
        <w:rFonts w:ascii="OpenSymbol" w:hAnsi="OpenSymbol" w:cs="OpenSymbol"/>
        <w:color w:val="000000"/>
        <w:szCs w:val="26"/>
      </w:rPr>
    </w:lvl>
    <w:lvl w:ilvl="5">
      <w:start w:val="1"/>
      <w:numFmt w:val="bullet"/>
      <w:lvlText w:val="▪"/>
      <w:lvlJc w:val="left"/>
      <w:pPr>
        <w:tabs>
          <w:tab w:val="num" w:pos="2520"/>
        </w:tabs>
        <w:ind w:left="2520" w:hanging="360"/>
      </w:pPr>
      <w:rPr>
        <w:rFonts w:ascii="OpenSymbol" w:hAnsi="OpenSymbol" w:cs="OpenSymbol"/>
        <w:color w:val="000000"/>
        <w:szCs w:val="26"/>
      </w:rPr>
    </w:lvl>
    <w:lvl w:ilvl="6">
      <w:start w:val="1"/>
      <w:numFmt w:val="bullet"/>
      <w:lvlText w:val=""/>
      <w:lvlJc w:val="left"/>
      <w:pPr>
        <w:tabs>
          <w:tab w:val="num" w:pos="2880"/>
        </w:tabs>
        <w:ind w:left="2880" w:hanging="360"/>
      </w:pPr>
      <w:rPr>
        <w:rFonts w:ascii="Symbol" w:hAnsi="Symbol" w:cs="OpenSymbol"/>
        <w:color w:val="000000"/>
        <w:szCs w:val="26"/>
        <w:lang w:val="pl-PL"/>
      </w:rPr>
    </w:lvl>
    <w:lvl w:ilvl="7">
      <w:start w:val="1"/>
      <w:numFmt w:val="bullet"/>
      <w:lvlText w:val="◦"/>
      <w:lvlJc w:val="left"/>
      <w:pPr>
        <w:tabs>
          <w:tab w:val="num" w:pos="3240"/>
        </w:tabs>
        <w:ind w:left="3240" w:hanging="360"/>
      </w:pPr>
      <w:rPr>
        <w:rFonts w:ascii="OpenSymbol" w:hAnsi="OpenSymbol" w:cs="OpenSymbol"/>
        <w:color w:val="000000"/>
        <w:szCs w:val="26"/>
      </w:rPr>
    </w:lvl>
    <w:lvl w:ilvl="8">
      <w:start w:val="1"/>
      <w:numFmt w:val="bullet"/>
      <w:lvlText w:val="▪"/>
      <w:lvlJc w:val="left"/>
      <w:pPr>
        <w:tabs>
          <w:tab w:val="num" w:pos="3600"/>
        </w:tabs>
        <w:ind w:left="3600" w:hanging="360"/>
      </w:pPr>
      <w:rPr>
        <w:rFonts w:ascii="OpenSymbol" w:hAnsi="OpenSymbol" w:cs="OpenSymbol"/>
        <w:color w:val="000000"/>
        <w:szCs w:val="26"/>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2F47CF5"/>
    <w:multiLevelType w:val="hybridMultilevel"/>
    <w:tmpl w:val="32DC6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CC4F74"/>
    <w:multiLevelType w:val="hybridMultilevel"/>
    <w:tmpl w:val="FE98A222"/>
    <w:lvl w:ilvl="0" w:tplc="66B8FFD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8C225C"/>
    <w:multiLevelType w:val="multilevel"/>
    <w:tmpl w:val="53A69FF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3E32E6B"/>
    <w:multiLevelType w:val="hybridMultilevel"/>
    <w:tmpl w:val="762A87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FF33FF"/>
    <w:multiLevelType w:val="hybridMultilevel"/>
    <w:tmpl w:val="DBB2F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7F6B4E"/>
    <w:multiLevelType w:val="hybridMultilevel"/>
    <w:tmpl w:val="F2E4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823991"/>
    <w:multiLevelType w:val="multilevel"/>
    <w:tmpl w:val="B5DE930C"/>
    <w:lvl w:ilvl="0">
      <w:start w:val="1"/>
      <w:numFmt w:val="decimal"/>
      <w:lvlText w:val="%1."/>
      <w:lvlJc w:val="left"/>
      <w:pPr>
        <w:ind w:left="360" w:hanging="360"/>
      </w:pPr>
      <w:rPr>
        <w:b w:val="0"/>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656113"/>
    <w:multiLevelType w:val="multilevel"/>
    <w:tmpl w:val="E376DCE4"/>
    <w:lvl w:ilvl="0">
      <w:start w:val="2"/>
      <w:numFmt w:val="decimal"/>
      <w:lvlText w:val="%1."/>
      <w:lvlJc w:val="left"/>
      <w:pPr>
        <w:tabs>
          <w:tab w:val="num" w:pos="360"/>
        </w:tabs>
        <w:ind w:left="360" w:hanging="360"/>
      </w:pPr>
      <w:rPr>
        <w:rFonts w:ascii="Tahoma" w:hAnsi="Tahoma" w:cs="Tahoma" w:hint="default"/>
        <w:b w:val="0"/>
        <w:color w:val="auto"/>
        <w:sz w:val="24"/>
        <w:szCs w:val="24"/>
      </w:rPr>
    </w:lvl>
    <w:lvl w:ilvl="1">
      <w:start w:val="3"/>
      <w:numFmt w:val="decimal"/>
      <w:isLgl/>
      <w:lvlText w:val="%1.%2"/>
      <w:lvlJc w:val="left"/>
      <w:pPr>
        <w:ind w:left="933" w:hanging="72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3078" w:hanging="180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864" w:hanging="2160"/>
      </w:pPr>
      <w:rPr>
        <w:rFonts w:hint="default"/>
      </w:rPr>
    </w:lvl>
  </w:abstractNum>
  <w:num w:numId="1">
    <w:abstractNumId w:val="10"/>
  </w:num>
  <w:num w:numId="2">
    <w:abstractNumId w:val="8"/>
  </w:num>
  <w:num w:numId="3">
    <w:abstractNumId w:val="5"/>
  </w:num>
  <w:num w:numId="4">
    <w:abstractNumId w:val="7"/>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AD"/>
    <w:rsid w:val="00002139"/>
    <w:rsid w:val="000033BB"/>
    <w:rsid w:val="0000510E"/>
    <w:rsid w:val="000066C2"/>
    <w:rsid w:val="00010038"/>
    <w:rsid w:val="000134CF"/>
    <w:rsid w:val="00016AC0"/>
    <w:rsid w:val="00021735"/>
    <w:rsid w:val="0002211F"/>
    <w:rsid w:val="00022267"/>
    <w:rsid w:val="00025FAD"/>
    <w:rsid w:val="000276FC"/>
    <w:rsid w:val="000313DC"/>
    <w:rsid w:val="00032369"/>
    <w:rsid w:val="00041C31"/>
    <w:rsid w:val="00047396"/>
    <w:rsid w:val="0005036B"/>
    <w:rsid w:val="000563F5"/>
    <w:rsid w:val="000565E9"/>
    <w:rsid w:val="00060D7B"/>
    <w:rsid w:val="00060FAC"/>
    <w:rsid w:val="0006210B"/>
    <w:rsid w:val="0006461F"/>
    <w:rsid w:val="00065519"/>
    <w:rsid w:val="00067AF4"/>
    <w:rsid w:val="000700FB"/>
    <w:rsid w:val="000728D3"/>
    <w:rsid w:val="00073090"/>
    <w:rsid w:val="00073F75"/>
    <w:rsid w:val="00076A1F"/>
    <w:rsid w:val="0008218E"/>
    <w:rsid w:val="00082B91"/>
    <w:rsid w:val="00085B77"/>
    <w:rsid w:val="00090728"/>
    <w:rsid w:val="000917DD"/>
    <w:rsid w:val="000951E9"/>
    <w:rsid w:val="00095F6A"/>
    <w:rsid w:val="000A132F"/>
    <w:rsid w:val="000A5C0E"/>
    <w:rsid w:val="000A68D3"/>
    <w:rsid w:val="000A78AC"/>
    <w:rsid w:val="000B2757"/>
    <w:rsid w:val="000C23AB"/>
    <w:rsid w:val="000C33E6"/>
    <w:rsid w:val="000C4E38"/>
    <w:rsid w:val="000C7AC8"/>
    <w:rsid w:val="000D2380"/>
    <w:rsid w:val="000D2B46"/>
    <w:rsid w:val="000D2BA8"/>
    <w:rsid w:val="000E22DF"/>
    <w:rsid w:val="000E28A7"/>
    <w:rsid w:val="000E47D2"/>
    <w:rsid w:val="00101C8D"/>
    <w:rsid w:val="001027FD"/>
    <w:rsid w:val="00103F6D"/>
    <w:rsid w:val="001072DE"/>
    <w:rsid w:val="00112EAC"/>
    <w:rsid w:val="001202A8"/>
    <w:rsid w:val="00120371"/>
    <w:rsid w:val="00121EE3"/>
    <w:rsid w:val="0013576C"/>
    <w:rsid w:val="001362A1"/>
    <w:rsid w:val="00136521"/>
    <w:rsid w:val="0014449F"/>
    <w:rsid w:val="00145E97"/>
    <w:rsid w:val="00151921"/>
    <w:rsid w:val="00153184"/>
    <w:rsid w:val="00157B01"/>
    <w:rsid w:val="00164F73"/>
    <w:rsid w:val="001650F4"/>
    <w:rsid w:val="00166708"/>
    <w:rsid w:val="00167348"/>
    <w:rsid w:val="00170889"/>
    <w:rsid w:val="00170EA5"/>
    <w:rsid w:val="00171CC7"/>
    <w:rsid w:val="00173011"/>
    <w:rsid w:val="00173E58"/>
    <w:rsid w:val="00176FC5"/>
    <w:rsid w:val="00182C4B"/>
    <w:rsid w:val="00184ED5"/>
    <w:rsid w:val="00191C4C"/>
    <w:rsid w:val="001958DF"/>
    <w:rsid w:val="001979A8"/>
    <w:rsid w:val="001A335A"/>
    <w:rsid w:val="001A3785"/>
    <w:rsid w:val="001A3B4E"/>
    <w:rsid w:val="001A40EB"/>
    <w:rsid w:val="001A6341"/>
    <w:rsid w:val="001A7704"/>
    <w:rsid w:val="001A7769"/>
    <w:rsid w:val="001B2767"/>
    <w:rsid w:val="001B60B9"/>
    <w:rsid w:val="001B69CB"/>
    <w:rsid w:val="001D4575"/>
    <w:rsid w:val="001D4BA3"/>
    <w:rsid w:val="001D590F"/>
    <w:rsid w:val="001D5981"/>
    <w:rsid w:val="001D5AA4"/>
    <w:rsid w:val="001D6B31"/>
    <w:rsid w:val="001D7F87"/>
    <w:rsid w:val="001E615B"/>
    <w:rsid w:val="001E7E23"/>
    <w:rsid w:val="001F1576"/>
    <w:rsid w:val="001F4760"/>
    <w:rsid w:val="00200353"/>
    <w:rsid w:val="002056E4"/>
    <w:rsid w:val="002109A9"/>
    <w:rsid w:val="002140B1"/>
    <w:rsid w:val="0022200E"/>
    <w:rsid w:val="002257BB"/>
    <w:rsid w:val="00227028"/>
    <w:rsid w:val="00231764"/>
    <w:rsid w:val="00231F21"/>
    <w:rsid w:val="00232A14"/>
    <w:rsid w:val="00235A42"/>
    <w:rsid w:val="00241B9B"/>
    <w:rsid w:val="00242685"/>
    <w:rsid w:val="002434A7"/>
    <w:rsid w:val="00244B57"/>
    <w:rsid w:val="00246B83"/>
    <w:rsid w:val="00250E40"/>
    <w:rsid w:val="00262179"/>
    <w:rsid w:val="002624AD"/>
    <w:rsid w:val="002640A7"/>
    <w:rsid w:val="00266AA3"/>
    <w:rsid w:val="00266CF7"/>
    <w:rsid w:val="00266D0C"/>
    <w:rsid w:val="00267A45"/>
    <w:rsid w:val="002703AD"/>
    <w:rsid w:val="0027359F"/>
    <w:rsid w:val="00275871"/>
    <w:rsid w:val="00275AEE"/>
    <w:rsid w:val="0028108F"/>
    <w:rsid w:val="002819E1"/>
    <w:rsid w:val="00282713"/>
    <w:rsid w:val="002842D5"/>
    <w:rsid w:val="00284577"/>
    <w:rsid w:val="002853EC"/>
    <w:rsid w:val="00286099"/>
    <w:rsid w:val="00290AA8"/>
    <w:rsid w:val="00294FB3"/>
    <w:rsid w:val="0029536C"/>
    <w:rsid w:val="002953A2"/>
    <w:rsid w:val="002966FD"/>
    <w:rsid w:val="00297623"/>
    <w:rsid w:val="002B06D7"/>
    <w:rsid w:val="002B2B0C"/>
    <w:rsid w:val="002B518A"/>
    <w:rsid w:val="002B6829"/>
    <w:rsid w:val="002C191C"/>
    <w:rsid w:val="002C2656"/>
    <w:rsid w:val="002C42C3"/>
    <w:rsid w:val="002D0D06"/>
    <w:rsid w:val="002D7F24"/>
    <w:rsid w:val="002E64C9"/>
    <w:rsid w:val="002E7A84"/>
    <w:rsid w:val="002F4CBE"/>
    <w:rsid w:val="002F4F21"/>
    <w:rsid w:val="002F5B2F"/>
    <w:rsid w:val="002F7E86"/>
    <w:rsid w:val="00307F8C"/>
    <w:rsid w:val="003134AF"/>
    <w:rsid w:val="00316FDE"/>
    <w:rsid w:val="00317A7C"/>
    <w:rsid w:val="00317E3A"/>
    <w:rsid w:val="00321852"/>
    <w:rsid w:val="00327F13"/>
    <w:rsid w:val="00331100"/>
    <w:rsid w:val="00331E0E"/>
    <w:rsid w:val="00336293"/>
    <w:rsid w:val="00336348"/>
    <w:rsid w:val="00337985"/>
    <w:rsid w:val="00344928"/>
    <w:rsid w:val="00354EDE"/>
    <w:rsid w:val="003576E2"/>
    <w:rsid w:val="003607FC"/>
    <w:rsid w:val="00360CEB"/>
    <w:rsid w:val="00362809"/>
    <w:rsid w:val="00362972"/>
    <w:rsid w:val="00363200"/>
    <w:rsid w:val="0036438F"/>
    <w:rsid w:val="00365DD0"/>
    <w:rsid w:val="00366A57"/>
    <w:rsid w:val="003715FF"/>
    <w:rsid w:val="00372ED2"/>
    <w:rsid w:val="00373637"/>
    <w:rsid w:val="003746E5"/>
    <w:rsid w:val="00377777"/>
    <w:rsid w:val="00381314"/>
    <w:rsid w:val="003864E9"/>
    <w:rsid w:val="00390168"/>
    <w:rsid w:val="00391076"/>
    <w:rsid w:val="00396A9F"/>
    <w:rsid w:val="003A06DB"/>
    <w:rsid w:val="003A231D"/>
    <w:rsid w:val="003A5077"/>
    <w:rsid w:val="003A5DD4"/>
    <w:rsid w:val="003B3BAD"/>
    <w:rsid w:val="003C013F"/>
    <w:rsid w:val="003C2BEF"/>
    <w:rsid w:val="003D2AFD"/>
    <w:rsid w:val="003D3576"/>
    <w:rsid w:val="003E2F97"/>
    <w:rsid w:val="003F3606"/>
    <w:rsid w:val="003F693C"/>
    <w:rsid w:val="003F6E2B"/>
    <w:rsid w:val="0040267D"/>
    <w:rsid w:val="00403F91"/>
    <w:rsid w:val="00405BD7"/>
    <w:rsid w:val="00411F4A"/>
    <w:rsid w:val="00413516"/>
    <w:rsid w:val="00413D4D"/>
    <w:rsid w:val="004143D1"/>
    <w:rsid w:val="0042272A"/>
    <w:rsid w:val="00422D96"/>
    <w:rsid w:val="00422EAC"/>
    <w:rsid w:val="00427710"/>
    <w:rsid w:val="0042788F"/>
    <w:rsid w:val="004305BB"/>
    <w:rsid w:val="00431319"/>
    <w:rsid w:val="00431CB0"/>
    <w:rsid w:val="004361C3"/>
    <w:rsid w:val="0044528A"/>
    <w:rsid w:val="00445F9D"/>
    <w:rsid w:val="0045079D"/>
    <w:rsid w:val="0045253A"/>
    <w:rsid w:val="00452ECE"/>
    <w:rsid w:val="004544C3"/>
    <w:rsid w:val="00461F57"/>
    <w:rsid w:val="0046362A"/>
    <w:rsid w:val="004636E4"/>
    <w:rsid w:val="00466F50"/>
    <w:rsid w:val="00471BE7"/>
    <w:rsid w:val="00471E6E"/>
    <w:rsid w:val="0047298E"/>
    <w:rsid w:val="00475C66"/>
    <w:rsid w:val="0048135A"/>
    <w:rsid w:val="00485E7E"/>
    <w:rsid w:val="00486446"/>
    <w:rsid w:val="004910C2"/>
    <w:rsid w:val="004A30C2"/>
    <w:rsid w:val="004B0EA3"/>
    <w:rsid w:val="004B20EC"/>
    <w:rsid w:val="004B78FE"/>
    <w:rsid w:val="004C589A"/>
    <w:rsid w:val="004C59FD"/>
    <w:rsid w:val="004C73D2"/>
    <w:rsid w:val="004D2742"/>
    <w:rsid w:val="004D325F"/>
    <w:rsid w:val="004E3A56"/>
    <w:rsid w:val="004E58A1"/>
    <w:rsid w:val="004E7813"/>
    <w:rsid w:val="004F4B84"/>
    <w:rsid w:val="005014BB"/>
    <w:rsid w:val="00502B9F"/>
    <w:rsid w:val="005037A3"/>
    <w:rsid w:val="00503EFD"/>
    <w:rsid w:val="00506F7D"/>
    <w:rsid w:val="0051021A"/>
    <w:rsid w:val="00510592"/>
    <w:rsid w:val="00510BC1"/>
    <w:rsid w:val="00521CB8"/>
    <w:rsid w:val="005274B9"/>
    <w:rsid w:val="00535199"/>
    <w:rsid w:val="00536CE0"/>
    <w:rsid w:val="00540B65"/>
    <w:rsid w:val="0054134E"/>
    <w:rsid w:val="00542F1B"/>
    <w:rsid w:val="005464FD"/>
    <w:rsid w:val="00547414"/>
    <w:rsid w:val="00557C45"/>
    <w:rsid w:val="00560A70"/>
    <w:rsid w:val="00560B68"/>
    <w:rsid w:val="0056250D"/>
    <w:rsid w:val="00566639"/>
    <w:rsid w:val="00570776"/>
    <w:rsid w:val="00580A19"/>
    <w:rsid w:val="00580A43"/>
    <w:rsid w:val="005812DC"/>
    <w:rsid w:val="005830BB"/>
    <w:rsid w:val="00583871"/>
    <w:rsid w:val="0058552E"/>
    <w:rsid w:val="00587EE4"/>
    <w:rsid w:val="00593F4C"/>
    <w:rsid w:val="005940EB"/>
    <w:rsid w:val="005A1AE0"/>
    <w:rsid w:val="005A2985"/>
    <w:rsid w:val="005A65D3"/>
    <w:rsid w:val="005B4BB0"/>
    <w:rsid w:val="005B5115"/>
    <w:rsid w:val="005B5F68"/>
    <w:rsid w:val="005B63E0"/>
    <w:rsid w:val="005B744B"/>
    <w:rsid w:val="005C24A3"/>
    <w:rsid w:val="005D115D"/>
    <w:rsid w:val="005D55CF"/>
    <w:rsid w:val="005D56D0"/>
    <w:rsid w:val="005D6C79"/>
    <w:rsid w:val="005D7F1D"/>
    <w:rsid w:val="005E3B8D"/>
    <w:rsid w:val="005E6780"/>
    <w:rsid w:val="005F3FF6"/>
    <w:rsid w:val="005F464E"/>
    <w:rsid w:val="005F69A2"/>
    <w:rsid w:val="00601181"/>
    <w:rsid w:val="0060540B"/>
    <w:rsid w:val="00605E18"/>
    <w:rsid w:val="00612062"/>
    <w:rsid w:val="006147DE"/>
    <w:rsid w:val="00614EF5"/>
    <w:rsid w:val="00616FED"/>
    <w:rsid w:val="0062091E"/>
    <w:rsid w:val="00621729"/>
    <w:rsid w:val="00627344"/>
    <w:rsid w:val="00630634"/>
    <w:rsid w:val="00643270"/>
    <w:rsid w:val="00643351"/>
    <w:rsid w:val="006457EC"/>
    <w:rsid w:val="00645CAF"/>
    <w:rsid w:val="00657B52"/>
    <w:rsid w:val="00664DCA"/>
    <w:rsid w:val="00665967"/>
    <w:rsid w:val="00667EE5"/>
    <w:rsid w:val="0067024E"/>
    <w:rsid w:val="006712F2"/>
    <w:rsid w:val="00674477"/>
    <w:rsid w:val="0067520C"/>
    <w:rsid w:val="006769E0"/>
    <w:rsid w:val="00677CEB"/>
    <w:rsid w:val="00681314"/>
    <w:rsid w:val="0068250E"/>
    <w:rsid w:val="00682A21"/>
    <w:rsid w:val="00693229"/>
    <w:rsid w:val="0069348F"/>
    <w:rsid w:val="00695985"/>
    <w:rsid w:val="00695F07"/>
    <w:rsid w:val="006976D3"/>
    <w:rsid w:val="006A72FB"/>
    <w:rsid w:val="006B3AD5"/>
    <w:rsid w:val="006B48E8"/>
    <w:rsid w:val="006D033F"/>
    <w:rsid w:val="006D10B4"/>
    <w:rsid w:val="006D1273"/>
    <w:rsid w:val="006E1658"/>
    <w:rsid w:val="006E6B4F"/>
    <w:rsid w:val="006F5997"/>
    <w:rsid w:val="006F6FA3"/>
    <w:rsid w:val="006F7041"/>
    <w:rsid w:val="0070070A"/>
    <w:rsid w:val="00704E3B"/>
    <w:rsid w:val="007054CD"/>
    <w:rsid w:val="00715531"/>
    <w:rsid w:val="00717BC2"/>
    <w:rsid w:val="00720326"/>
    <w:rsid w:val="00722F41"/>
    <w:rsid w:val="00724C86"/>
    <w:rsid w:val="00725C9C"/>
    <w:rsid w:val="00726CA7"/>
    <w:rsid w:val="007271EC"/>
    <w:rsid w:val="0073055C"/>
    <w:rsid w:val="00742F0E"/>
    <w:rsid w:val="0074478E"/>
    <w:rsid w:val="00744E0B"/>
    <w:rsid w:val="00747DCA"/>
    <w:rsid w:val="007500F3"/>
    <w:rsid w:val="00756A71"/>
    <w:rsid w:val="00756DB6"/>
    <w:rsid w:val="00761F11"/>
    <w:rsid w:val="007708F3"/>
    <w:rsid w:val="007728E5"/>
    <w:rsid w:val="00774ED6"/>
    <w:rsid w:val="00780A98"/>
    <w:rsid w:val="007854D2"/>
    <w:rsid w:val="00785C87"/>
    <w:rsid w:val="00787847"/>
    <w:rsid w:val="007913A3"/>
    <w:rsid w:val="00794282"/>
    <w:rsid w:val="007948F6"/>
    <w:rsid w:val="00797C77"/>
    <w:rsid w:val="007A5EC5"/>
    <w:rsid w:val="007A601D"/>
    <w:rsid w:val="007B0D6B"/>
    <w:rsid w:val="007B1C70"/>
    <w:rsid w:val="007B34DC"/>
    <w:rsid w:val="007B5117"/>
    <w:rsid w:val="007C086E"/>
    <w:rsid w:val="007C5DF4"/>
    <w:rsid w:val="007D1626"/>
    <w:rsid w:val="007D6CEC"/>
    <w:rsid w:val="007E4A56"/>
    <w:rsid w:val="007E7E06"/>
    <w:rsid w:val="007F3015"/>
    <w:rsid w:val="00821A7D"/>
    <w:rsid w:val="008247E1"/>
    <w:rsid w:val="00824C86"/>
    <w:rsid w:val="00825ED1"/>
    <w:rsid w:val="008329CC"/>
    <w:rsid w:val="00837610"/>
    <w:rsid w:val="008412C2"/>
    <w:rsid w:val="0084288A"/>
    <w:rsid w:val="008473B4"/>
    <w:rsid w:val="00853C10"/>
    <w:rsid w:val="00853C6B"/>
    <w:rsid w:val="00875895"/>
    <w:rsid w:val="00877026"/>
    <w:rsid w:val="00877676"/>
    <w:rsid w:val="00883FD4"/>
    <w:rsid w:val="008853D5"/>
    <w:rsid w:val="00896681"/>
    <w:rsid w:val="008A05C6"/>
    <w:rsid w:val="008A16E3"/>
    <w:rsid w:val="008A3E65"/>
    <w:rsid w:val="008A456A"/>
    <w:rsid w:val="008B4F63"/>
    <w:rsid w:val="008B52A6"/>
    <w:rsid w:val="008C1FA0"/>
    <w:rsid w:val="008D0332"/>
    <w:rsid w:val="008D0D20"/>
    <w:rsid w:val="008D0F6B"/>
    <w:rsid w:val="008D1D40"/>
    <w:rsid w:val="008D3028"/>
    <w:rsid w:val="008D55B3"/>
    <w:rsid w:val="008D5CA9"/>
    <w:rsid w:val="008E3743"/>
    <w:rsid w:val="008E43C0"/>
    <w:rsid w:val="008E58F7"/>
    <w:rsid w:val="008F07EF"/>
    <w:rsid w:val="008F3AE4"/>
    <w:rsid w:val="008F4E13"/>
    <w:rsid w:val="009008A6"/>
    <w:rsid w:val="00904D0A"/>
    <w:rsid w:val="009064D8"/>
    <w:rsid w:val="00911B13"/>
    <w:rsid w:val="009135CB"/>
    <w:rsid w:val="00916383"/>
    <w:rsid w:val="009171BA"/>
    <w:rsid w:val="00917C41"/>
    <w:rsid w:val="00920136"/>
    <w:rsid w:val="00920E08"/>
    <w:rsid w:val="0092151E"/>
    <w:rsid w:val="00926F42"/>
    <w:rsid w:val="00927231"/>
    <w:rsid w:val="009339D9"/>
    <w:rsid w:val="0093551D"/>
    <w:rsid w:val="00936754"/>
    <w:rsid w:val="0094712F"/>
    <w:rsid w:val="00950C43"/>
    <w:rsid w:val="0095301B"/>
    <w:rsid w:val="0095502C"/>
    <w:rsid w:val="009617C0"/>
    <w:rsid w:val="00966B72"/>
    <w:rsid w:val="00974C31"/>
    <w:rsid w:val="009808B1"/>
    <w:rsid w:val="009809D1"/>
    <w:rsid w:val="00980A9E"/>
    <w:rsid w:val="0098238E"/>
    <w:rsid w:val="00990B0C"/>
    <w:rsid w:val="00992706"/>
    <w:rsid w:val="009939D6"/>
    <w:rsid w:val="009958C4"/>
    <w:rsid w:val="009A0278"/>
    <w:rsid w:val="009A0284"/>
    <w:rsid w:val="009A048A"/>
    <w:rsid w:val="009A1AA6"/>
    <w:rsid w:val="009A2EEF"/>
    <w:rsid w:val="009B0CCC"/>
    <w:rsid w:val="009B616D"/>
    <w:rsid w:val="009C0A9E"/>
    <w:rsid w:val="009C6A43"/>
    <w:rsid w:val="009D2F45"/>
    <w:rsid w:val="009D39A7"/>
    <w:rsid w:val="009D5AF8"/>
    <w:rsid w:val="009E0407"/>
    <w:rsid w:val="009E604B"/>
    <w:rsid w:val="009F2539"/>
    <w:rsid w:val="009F282C"/>
    <w:rsid w:val="009F7E16"/>
    <w:rsid w:val="00A01E25"/>
    <w:rsid w:val="00A05850"/>
    <w:rsid w:val="00A06CEC"/>
    <w:rsid w:val="00A14D12"/>
    <w:rsid w:val="00A1608C"/>
    <w:rsid w:val="00A20154"/>
    <w:rsid w:val="00A20B9D"/>
    <w:rsid w:val="00A22D16"/>
    <w:rsid w:val="00A2577D"/>
    <w:rsid w:val="00A30837"/>
    <w:rsid w:val="00A32E32"/>
    <w:rsid w:val="00A34945"/>
    <w:rsid w:val="00A37789"/>
    <w:rsid w:val="00A40EBE"/>
    <w:rsid w:val="00A42E69"/>
    <w:rsid w:val="00A45FF9"/>
    <w:rsid w:val="00A608ED"/>
    <w:rsid w:val="00A6434F"/>
    <w:rsid w:val="00A65073"/>
    <w:rsid w:val="00A66405"/>
    <w:rsid w:val="00A7267F"/>
    <w:rsid w:val="00A734AC"/>
    <w:rsid w:val="00A73CB7"/>
    <w:rsid w:val="00A75017"/>
    <w:rsid w:val="00A75DA3"/>
    <w:rsid w:val="00A76839"/>
    <w:rsid w:val="00A80AE8"/>
    <w:rsid w:val="00A822FF"/>
    <w:rsid w:val="00A82937"/>
    <w:rsid w:val="00A8440E"/>
    <w:rsid w:val="00A8695D"/>
    <w:rsid w:val="00A86D68"/>
    <w:rsid w:val="00A93058"/>
    <w:rsid w:val="00AA051C"/>
    <w:rsid w:val="00AA08F5"/>
    <w:rsid w:val="00AA1AF0"/>
    <w:rsid w:val="00AA3A3C"/>
    <w:rsid w:val="00AA577B"/>
    <w:rsid w:val="00AA61CE"/>
    <w:rsid w:val="00AA6668"/>
    <w:rsid w:val="00AB0926"/>
    <w:rsid w:val="00AC6D9D"/>
    <w:rsid w:val="00AD006C"/>
    <w:rsid w:val="00AD562B"/>
    <w:rsid w:val="00AE0B94"/>
    <w:rsid w:val="00AE3583"/>
    <w:rsid w:val="00AE3AF4"/>
    <w:rsid w:val="00AE467E"/>
    <w:rsid w:val="00AE483C"/>
    <w:rsid w:val="00AE5A84"/>
    <w:rsid w:val="00AF2EEB"/>
    <w:rsid w:val="00AF6A4E"/>
    <w:rsid w:val="00AF6EA7"/>
    <w:rsid w:val="00AF7E65"/>
    <w:rsid w:val="00B06564"/>
    <w:rsid w:val="00B16340"/>
    <w:rsid w:val="00B22E92"/>
    <w:rsid w:val="00B23FE0"/>
    <w:rsid w:val="00B32B73"/>
    <w:rsid w:val="00B411CA"/>
    <w:rsid w:val="00B443D1"/>
    <w:rsid w:val="00B46BBF"/>
    <w:rsid w:val="00B471D1"/>
    <w:rsid w:val="00B679C2"/>
    <w:rsid w:val="00B71897"/>
    <w:rsid w:val="00B71A8F"/>
    <w:rsid w:val="00B71BCB"/>
    <w:rsid w:val="00B72B5C"/>
    <w:rsid w:val="00B73557"/>
    <w:rsid w:val="00B8016D"/>
    <w:rsid w:val="00B84FC0"/>
    <w:rsid w:val="00B85D6C"/>
    <w:rsid w:val="00B87581"/>
    <w:rsid w:val="00B93869"/>
    <w:rsid w:val="00B93C85"/>
    <w:rsid w:val="00B94991"/>
    <w:rsid w:val="00B95BCF"/>
    <w:rsid w:val="00B96779"/>
    <w:rsid w:val="00BA6D06"/>
    <w:rsid w:val="00BB1D49"/>
    <w:rsid w:val="00BB3E0C"/>
    <w:rsid w:val="00BB480C"/>
    <w:rsid w:val="00BB74B9"/>
    <w:rsid w:val="00BB7BBA"/>
    <w:rsid w:val="00BC147B"/>
    <w:rsid w:val="00BC6257"/>
    <w:rsid w:val="00BC78AC"/>
    <w:rsid w:val="00BD52B9"/>
    <w:rsid w:val="00BD589E"/>
    <w:rsid w:val="00BD7EED"/>
    <w:rsid w:val="00BE2226"/>
    <w:rsid w:val="00BE6019"/>
    <w:rsid w:val="00BF3D09"/>
    <w:rsid w:val="00BF3F09"/>
    <w:rsid w:val="00C03587"/>
    <w:rsid w:val="00C03C82"/>
    <w:rsid w:val="00C042B9"/>
    <w:rsid w:val="00C06442"/>
    <w:rsid w:val="00C06CBB"/>
    <w:rsid w:val="00C07057"/>
    <w:rsid w:val="00C12567"/>
    <w:rsid w:val="00C16F28"/>
    <w:rsid w:val="00C17420"/>
    <w:rsid w:val="00C223B7"/>
    <w:rsid w:val="00C22B89"/>
    <w:rsid w:val="00C22F09"/>
    <w:rsid w:val="00C25DC3"/>
    <w:rsid w:val="00C26F44"/>
    <w:rsid w:val="00C35901"/>
    <w:rsid w:val="00C36B32"/>
    <w:rsid w:val="00C377E5"/>
    <w:rsid w:val="00C41ED4"/>
    <w:rsid w:val="00C42A6D"/>
    <w:rsid w:val="00C4577D"/>
    <w:rsid w:val="00C461F3"/>
    <w:rsid w:val="00C52579"/>
    <w:rsid w:val="00C5310A"/>
    <w:rsid w:val="00C54067"/>
    <w:rsid w:val="00C545C0"/>
    <w:rsid w:val="00C55DAE"/>
    <w:rsid w:val="00C563E3"/>
    <w:rsid w:val="00C565E6"/>
    <w:rsid w:val="00C60040"/>
    <w:rsid w:val="00C626CC"/>
    <w:rsid w:val="00C63A76"/>
    <w:rsid w:val="00C662D6"/>
    <w:rsid w:val="00C7201D"/>
    <w:rsid w:val="00C72BCC"/>
    <w:rsid w:val="00C72E41"/>
    <w:rsid w:val="00C741EF"/>
    <w:rsid w:val="00C76962"/>
    <w:rsid w:val="00C76DF4"/>
    <w:rsid w:val="00C81994"/>
    <w:rsid w:val="00C85523"/>
    <w:rsid w:val="00C861D9"/>
    <w:rsid w:val="00C91D4A"/>
    <w:rsid w:val="00C95D8C"/>
    <w:rsid w:val="00C9645B"/>
    <w:rsid w:val="00CA089D"/>
    <w:rsid w:val="00CA10DF"/>
    <w:rsid w:val="00CA5932"/>
    <w:rsid w:val="00CB26B2"/>
    <w:rsid w:val="00CC01FE"/>
    <w:rsid w:val="00CC0771"/>
    <w:rsid w:val="00CC15E9"/>
    <w:rsid w:val="00CC58DA"/>
    <w:rsid w:val="00CD40C6"/>
    <w:rsid w:val="00CD56E6"/>
    <w:rsid w:val="00CD6179"/>
    <w:rsid w:val="00CE0A24"/>
    <w:rsid w:val="00CE3B5B"/>
    <w:rsid w:val="00CE6AE2"/>
    <w:rsid w:val="00CE7A3E"/>
    <w:rsid w:val="00D007E0"/>
    <w:rsid w:val="00D0193A"/>
    <w:rsid w:val="00D023C9"/>
    <w:rsid w:val="00D02B28"/>
    <w:rsid w:val="00D03A74"/>
    <w:rsid w:val="00D05AF6"/>
    <w:rsid w:val="00D0631B"/>
    <w:rsid w:val="00D11B81"/>
    <w:rsid w:val="00D163F4"/>
    <w:rsid w:val="00D20D50"/>
    <w:rsid w:val="00D214C0"/>
    <w:rsid w:val="00D27AC8"/>
    <w:rsid w:val="00D32A2E"/>
    <w:rsid w:val="00D37A27"/>
    <w:rsid w:val="00D44754"/>
    <w:rsid w:val="00D52306"/>
    <w:rsid w:val="00D52834"/>
    <w:rsid w:val="00D626D0"/>
    <w:rsid w:val="00D63AA4"/>
    <w:rsid w:val="00D660FA"/>
    <w:rsid w:val="00D67351"/>
    <w:rsid w:val="00D7291A"/>
    <w:rsid w:val="00D729AB"/>
    <w:rsid w:val="00D72DC8"/>
    <w:rsid w:val="00D72F07"/>
    <w:rsid w:val="00D74F29"/>
    <w:rsid w:val="00D75D94"/>
    <w:rsid w:val="00D816BE"/>
    <w:rsid w:val="00D83B2D"/>
    <w:rsid w:val="00D87603"/>
    <w:rsid w:val="00D927F6"/>
    <w:rsid w:val="00D94450"/>
    <w:rsid w:val="00DA14D0"/>
    <w:rsid w:val="00DB1A92"/>
    <w:rsid w:val="00DB1F2A"/>
    <w:rsid w:val="00DB3F5E"/>
    <w:rsid w:val="00DB710B"/>
    <w:rsid w:val="00DB716B"/>
    <w:rsid w:val="00DC16C5"/>
    <w:rsid w:val="00DC1D7D"/>
    <w:rsid w:val="00DC7878"/>
    <w:rsid w:val="00DC7D6A"/>
    <w:rsid w:val="00DD586D"/>
    <w:rsid w:val="00DD659D"/>
    <w:rsid w:val="00DD737F"/>
    <w:rsid w:val="00DE1DE2"/>
    <w:rsid w:val="00DE6FC2"/>
    <w:rsid w:val="00DF445D"/>
    <w:rsid w:val="00DF4B45"/>
    <w:rsid w:val="00DF5F30"/>
    <w:rsid w:val="00E00FBB"/>
    <w:rsid w:val="00E06C47"/>
    <w:rsid w:val="00E07D00"/>
    <w:rsid w:val="00E210A2"/>
    <w:rsid w:val="00E217B4"/>
    <w:rsid w:val="00E21961"/>
    <w:rsid w:val="00E229F0"/>
    <w:rsid w:val="00E23A83"/>
    <w:rsid w:val="00E24DB7"/>
    <w:rsid w:val="00E26C6B"/>
    <w:rsid w:val="00E3034E"/>
    <w:rsid w:val="00E31BBD"/>
    <w:rsid w:val="00E368D7"/>
    <w:rsid w:val="00E37B2D"/>
    <w:rsid w:val="00E409D4"/>
    <w:rsid w:val="00E45AAC"/>
    <w:rsid w:val="00E50467"/>
    <w:rsid w:val="00E5665C"/>
    <w:rsid w:val="00E57D4F"/>
    <w:rsid w:val="00E61575"/>
    <w:rsid w:val="00E6326C"/>
    <w:rsid w:val="00E65B13"/>
    <w:rsid w:val="00E7168E"/>
    <w:rsid w:val="00E7520D"/>
    <w:rsid w:val="00E85D02"/>
    <w:rsid w:val="00E87E9B"/>
    <w:rsid w:val="00E967A1"/>
    <w:rsid w:val="00EA205A"/>
    <w:rsid w:val="00EA5DC1"/>
    <w:rsid w:val="00EB3320"/>
    <w:rsid w:val="00EB7D7E"/>
    <w:rsid w:val="00ED2C4D"/>
    <w:rsid w:val="00ED3A86"/>
    <w:rsid w:val="00ED64DD"/>
    <w:rsid w:val="00EE16FD"/>
    <w:rsid w:val="00EE2372"/>
    <w:rsid w:val="00EF0B39"/>
    <w:rsid w:val="00EF1CB9"/>
    <w:rsid w:val="00EF4938"/>
    <w:rsid w:val="00EF6767"/>
    <w:rsid w:val="00F02F7A"/>
    <w:rsid w:val="00F13E72"/>
    <w:rsid w:val="00F1497F"/>
    <w:rsid w:val="00F1620E"/>
    <w:rsid w:val="00F177E6"/>
    <w:rsid w:val="00F17B8F"/>
    <w:rsid w:val="00F20416"/>
    <w:rsid w:val="00F219F6"/>
    <w:rsid w:val="00F259CF"/>
    <w:rsid w:val="00F25D31"/>
    <w:rsid w:val="00F27342"/>
    <w:rsid w:val="00F304EA"/>
    <w:rsid w:val="00F3374E"/>
    <w:rsid w:val="00F3641B"/>
    <w:rsid w:val="00F40B6B"/>
    <w:rsid w:val="00F505A6"/>
    <w:rsid w:val="00F50861"/>
    <w:rsid w:val="00F50D03"/>
    <w:rsid w:val="00F5163D"/>
    <w:rsid w:val="00F51818"/>
    <w:rsid w:val="00F52FB3"/>
    <w:rsid w:val="00F63164"/>
    <w:rsid w:val="00F65059"/>
    <w:rsid w:val="00F66DAE"/>
    <w:rsid w:val="00F66F8B"/>
    <w:rsid w:val="00F70E50"/>
    <w:rsid w:val="00F72A01"/>
    <w:rsid w:val="00F77C1E"/>
    <w:rsid w:val="00F81170"/>
    <w:rsid w:val="00F828F7"/>
    <w:rsid w:val="00F82CBA"/>
    <w:rsid w:val="00F83FE1"/>
    <w:rsid w:val="00F84687"/>
    <w:rsid w:val="00F91868"/>
    <w:rsid w:val="00F919F6"/>
    <w:rsid w:val="00F92E0C"/>
    <w:rsid w:val="00F940EC"/>
    <w:rsid w:val="00F969B4"/>
    <w:rsid w:val="00FA1B01"/>
    <w:rsid w:val="00FA72CC"/>
    <w:rsid w:val="00FB09AC"/>
    <w:rsid w:val="00FB140B"/>
    <w:rsid w:val="00FB22B5"/>
    <w:rsid w:val="00FC2AEB"/>
    <w:rsid w:val="00FC4AC6"/>
    <w:rsid w:val="00FC71F4"/>
    <w:rsid w:val="00FD3F30"/>
    <w:rsid w:val="00FD4816"/>
    <w:rsid w:val="00FD485D"/>
    <w:rsid w:val="00FD4EF5"/>
    <w:rsid w:val="00FE20CC"/>
    <w:rsid w:val="00FE4A9F"/>
    <w:rsid w:val="00FE623C"/>
    <w:rsid w:val="00FF14D7"/>
    <w:rsid w:val="00FF2D9A"/>
    <w:rsid w:val="00FF48BA"/>
    <w:rsid w:val="00FF5215"/>
    <w:rsid w:val="00FF7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B1753"/>
  <w15:chartTrackingRefBased/>
  <w15:docId w15:val="{5577F54B-1B28-45AE-8535-E3E042BD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4E9"/>
    <w:rPr>
      <w:sz w:val="24"/>
      <w:szCs w:val="24"/>
    </w:rPr>
  </w:style>
  <w:style w:type="paragraph" w:styleId="Nagwek4">
    <w:name w:val="heading 4"/>
    <w:basedOn w:val="Normalny"/>
    <w:next w:val="Normalny"/>
    <w:link w:val="Nagwek4Znak"/>
    <w:semiHidden/>
    <w:unhideWhenUsed/>
    <w:qFormat/>
    <w:rsid w:val="001D5AA4"/>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qFormat/>
    <w:rsid w:val="00246B83"/>
    <w:pPr>
      <w:spacing w:before="240" w:after="60"/>
      <w:outlineLvl w:val="5"/>
    </w:pPr>
    <w:rPr>
      <w:b/>
      <w:bCs/>
      <w:sz w:val="22"/>
      <w:szCs w:val="22"/>
    </w:rPr>
  </w:style>
  <w:style w:type="paragraph" w:styleId="Nagwek7">
    <w:name w:val="heading 7"/>
    <w:basedOn w:val="Normalny"/>
    <w:next w:val="Normalny"/>
    <w:qFormat/>
    <w:rsid w:val="00246B8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25FAD"/>
    <w:pPr>
      <w:tabs>
        <w:tab w:val="center" w:pos="4536"/>
        <w:tab w:val="right" w:pos="9072"/>
      </w:tabs>
    </w:pPr>
  </w:style>
  <w:style w:type="paragraph" w:styleId="Stopka">
    <w:name w:val="footer"/>
    <w:basedOn w:val="Normalny"/>
    <w:link w:val="StopkaZnak"/>
    <w:uiPriority w:val="99"/>
    <w:rsid w:val="00025FAD"/>
    <w:pPr>
      <w:tabs>
        <w:tab w:val="center" w:pos="4536"/>
        <w:tab w:val="right" w:pos="9072"/>
      </w:tabs>
    </w:pPr>
  </w:style>
  <w:style w:type="character" w:styleId="Numerstrony">
    <w:name w:val="page number"/>
    <w:basedOn w:val="Domylnaczcionkaakapitu"/>
    <w:rsid w:val="00025FAD"/>
  </w:style>
  <w:style w:type="character" w:styleId="Uwydatnienie">
    <w:name w:val="Emphasis"/>
    <w:uiPriority w:val="20"/>
    <w:qFormat/>
    <w:rsid w:val="005D115D"/>
    <w:rPr>
      <w:b/>
      <w:bCs/>
      <w:i w:val="0"/>
      <w:iCs w:val="0"/>
    </w:rPr>
  </w:style>
  <w:style w:type="character" w:styleId="Odwoaniedokomentarza">
    <w:name w:val="annotation reference"/>
    <w:semiHidden/>
    <w:rsid w:val="00D67351"/>
    <w:rPr>
      <w:sz w:val="16"/>
      <w:szCs w:val="16"/>
    </w:rPr>
  </w:style>
  <w:style w:type="paragraph" w:styleId="Tekstkomentarza">
    <w:name w:val="annotation text"/>
    <w:basedOn w:val="Normalny"/>
    <w:semiHidden/>
    <w:rsid w:val="00D67351"/>
    <w:rPr>
      <w:sz w:val="20"/>
      <w:szCs w:val="20"/>
    </w:rPr>
  </w:style>
  <w:style w:type="paragraph" w:styleId="Tematkomentarza">
    <w:name w:val="annotation subject"/>
    <w:basedOn w:val="Tekstkomentarza"/>
    <w:next w:val="Tekstkomentarza"/>
    <w:semiHidden/>
    <w:rsid w:val="00D67351"/>
    <w:rPr>
      <w:b/>
      <w:bCs/>
    </w:rPr>
  </w:style>
  <w:style w:type="paragraph" w:styleId="Tekstdymka">
    <w:name w:val="Balloon Text"/>
    <w:basedOn w:val="Normalny"/>
    <w:semiHidden/>
    <w:rsid w:val="00D67351"/>
    <w:rPr>
      <w:rFonts w:ascii="Tahoma" w:hAnsi="Tahoma" w:cs="Tahoma"/>
      <w:sz w:val="16"/>
      <w:szCs w:val="16"/>
    </w:rPr>
  </w:style>
  <w:style w:type="table" w:styleId="Tabela-Siatka">
    <w:name w:val="Table Grid"/>
    <w:basedOn w:val="Standardowy"/>
    <w:rsid w:val="00246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246B83"/>
    <w:pPr>
      <w:jc w:val="center"/>
    </w:pPr>
    <w:rPr>
      <w:rFonts w:ascii="Arial" w:hAnsi="Arial"/>
      <w:sz w:val="22"/>
      <w:szCs w:val="20"/>
    </w:rPr>
  </w:style>
  <w:style w:type="character" w:customStyle="1" w:styleId="text1">
    <w:name w:val="text1"/>
    <w:rsid w:val="00246B83"/>
    <w:rPr>
      <w:rFonts w:ascii="Verdana" w:hAnsi="Verdana" w:hint="default"/>
      <w:color w:val="000000"/>
      <w:sz w:val="17"/>
      <w:szCs w:val="17"/>
    </w:rPr>
  </w:style>
  <w:style w:type="character" w:customStyle="1" w:styleId="FontStyle44">
    <w:name w:val="Font Style44"/>
    <w:rsid w:val="006D1273"/>
    <w:rPr>
      <w:rFonts w:ascii="Times New Roman" w:hAnsi="Times New Roman" w:cs="Times New Roman" w:hint="default"/>
      <w:b/>
      <w:bCs/>
      <w:sz w:val="30"/>
      <w:szCs w:val="30"/>
    </w:rPr>
  </w:style>
  <w:style w:type="paragraph" w:customStyle="1" w:styleId="Akapitzlist1">
    <w:name w:val="Akapit z listą1"/>
    <w:basedOn w:val="Normalny"/>
    <w:rsid w:val="00151921"/>
    <w:pPr>
      <w:spacing w:after="200" w:line="276" w:lineRule="auto"/>
      <w:ind w:left="720"/>
    </w:pPr>
    <w:rPr>
      <w:rFonts w:ascii="Calibri" w:hAnsi="Calibri"/>
      <w:sz w:val="22"/>
      <w:szCs w:val="22"/>
      <w:lang w:eastAsia="en-US"/>
    </w:rPr>
  </w:style>
  <w:style w:type="paragraph" w:customStyle="1" w:styleId="Style2">
    <w:name w:val="Style2"/>
    <w:basedOn w:val="Normalny"/>
    <w:rsid w:val="00D03A74"/>
    <w:pPr>
      <w:spacing w:before="120" w:after="120"/>
      <w:jc w:val="both"/>
    </w:pPr>
    <w:rPr>
      <w:rFonts w:ascii="Lucida Sans Unicode" w:hAnsi="Lucida Sans Unicode" w:cs="Lucida Sans Unicode"/>
      <w:sz w:val="18"/>
      <w:szCs w:val="18"/>
      <w:lang w:eastAsia="nb-NO"/>
    </w:rPr>
  </w:style>
  <w:style w:type="paragraph" w:styleId="HTML-wstpniesformatowany">
    <w:name w:val="HTML Preformatted"/>
    <w:basedOn w:val="Normalny"/>
    <w:link w:val="HTML-wstpniesformatowanyZnak"/>
    <w:uiPriority w:val="99"/>
    <w:unhideWhenUsed/>
    <w:rsid w:val="00EB7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EB7D7E"/>
    <w:rPr>
      <w:rFonts w:ascii="Courier New" w:hAnsi="Courier New" w:cs="Courier New"/>
    </w:rPr>
  </w:style>
  <w:style w:type="paragraph" w:customStyle="1" w:styleId="text-center">
    <w:name w:val="text-center"/>
    <w:basedOn w:val="Normalny"/>
    <w:rsid w:val="006457EC"/>
    <w:pPr>
      <w:spacing w:before="100" w:beforeAutospacing="1" w:after="100" w:afterAutospacing="1"/>
    </w:pPr>
  </w:style>
  <w:style w:type="paragraph" w:styleId="NormalnyWeb">
    <w:name w:val="Normal (Web)"/>
    <w:basedOn w:val="Normalny"/>
    <w:uiPriority w:val="99"/>
    <w:unhideWhenUsed/>
    <w:rsid w:val="006457EC"/>
    <w:pPr>
      <w:spacing w:before="100" w:beforeAutospacing="1" w:after="100" w:afterAutospacing="1"/>
    </w:pPr>
  </w:style>
  <w:style w:type="paragraph" w:customStyle="1" w:styleId="text-left">
    <w:name w:val="text-left"/>
    <w:basedOn w:val="Normalny"/>
    <w:rsid w:val="006457EC"/>
    <w:pPr>
      <w:spacing w:before="100" w:beforeAutospacing="1" w:after="100" w:afterAutospacing="1"/>
    </w:pPr>
  </w:style>
  <w:style w:type="character" w:customStyle="1" w:styleId="Tekstpodstawowywcity3Znak">
    <w:name w:val="Tekst podstawowy wcięty 3 Znak"/>
    <w:rsid w:val="008473B4"/>
    <w:rPr>
      <w:rFonts w:ascii="Arial" w:hAnsi="Arial"/>
    </w:rPr>
  </w:style>
  <w:style w:type="character" w:customStyle="1" w:styleId="StopkaZnak">
    <w:name w:val="Stopka Znak"/>
    <w:link w:val="Stopka"/>
    <w:uiPriority w:val="99"/>
    <w:rsid w:val="0047298E"/>
    <w:rPr>
      <w:sz w:val="24"/>
      <w:szCs w:val="24"/>
    </w:rPr>
  </w:style>
  <w:style w:type="paragraph" w:styleId="Tekstpodstawowy2">
    <w:name w:val="Body Text 2"/>
    <w:basedOn w:val="Normalny"/>
    <w:link w:val="Tekstpodstawowy2Znak"/>
    <w:rsid w:val="00B73557"/>
    <w:pPr>
      <w:spacing w:after="120" w:line="480" w:lineRule="auto"/>
    </w:pPr>
  </w:style>
  <w:style w:type="character" w:customStyle="1" w:styleId="Tekstpodstawowy2Znak">
    <w:name w:val="Tekst podstawowy 2 Znak"/>
    <w:link w:val="Tekstpodstawowy2"/>
    <w:rsid w:val="00B73557"/>
    <w:rPr>
      <w:sz w:val="24"/>
      <w:szCs w:val="24"/>
    </w:rPr>
  </w:style>
  <w:style w:type="paragraph" w:styleId="Akapitzlist">
    <w:name w:val="List Paragraph"/>
    <w:basedOn w:val="Normalny"/>
    <w:uiPriority w:val="34"/>
    <w:qFormat/>
    <w:rsid w:val="0087589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014BB"/>
    <w:pPr>
      <w:autoSpaceDE w:val="0"/>
      <w:autoSpaceDN w:val="0"/>
      <w:adjustRightInd w:val="0"/>
    </w:pPr>
    <w:rPr>
      <w:rFonts w:ascii="Calibri" w:hAnsi="Calibri" w:cs="Calibri"/>
      <w:color w:val="000000"/>
      <w:sz w:val="24"/>
      <w:szCs w:val="24"/>
    </w:rPr>
  </w:style>
  <w:style w:type="paragraph" w:customStyle="1" w:styleId="Akapitzlist10">
    <w:name w:val="Akapit z listą1"/>
    <w:basedOn w:val="Normalny"/>
    <w:rsid w:val="00DC7D6A"/>
    <w:pPr>
      <w:spacing w:after="200" w:line="276" w:lineRule="auto"/>
      <w:ind w:left="720"/>
    </w:pPr>
    <w:rPr>
      <w:rFonts w:ascii="Calibri" w:eastAsia="Calibri" w:hAnsi="Calibri" w:cs="Calibri"/>
      <w:sz w:val="22"/>
      <w:szCs w:val="22"/>
      <w:lang w:eastAsia="en-US"/>
    </w:rPr>
  </w:style>
  <w:style w:type="paragraph" w:styleId="Bezodstpw">
    <w:name w:val="No Spacing"/>
    <w:qFormat/>
    <w:rsid w:val="0045253A"/>
    <w:rPr>
      <w:rFonts w:ascii="Calibri" w:eastAsia="Calibri" w:hAnsi="Calibri"/>
      <w:sz w:val="22"/>
      <w:szCs w:val="22"/>
      <w:lang w:eastAsia="en-US"/>
    </w:rPr>
  </w:style>
  <w:style w:type="paragraph" w:styleId="Tekstprzypisukocowego">
    <w:name w:val="endnote text"/>
    <w:basedOn w:val="Normalny"/>
    <w:link w:val="TekstprzypisukocowegoZnak"/>
    <w:rsid w:val="00557C45"/>
    <w:rPr>
      <w:sz w:val="20"/>
      <w:szCs w:val="20"/>
    </w:rPr>
  </w:style>
  <w:style w:type="character" w:customStyle="1" w:styleId="TekstprzypisukocowegoZnak">
    <w:name w:val="Tekst przypisu końcowego Znak"/>
    <w:basedOn w:val="Domylnaczcionkaakapitu"/>
    <w:link w:val="Tekstprzypisukocowego"/>
    <w:rsid w:val="00557C45"/>
  </w:style>
  <w:style w:type="character" w:styleId="Odwoanieprzypisukocowego">
    <w:name w:val="endnote reference"/>
    <w:rsid w:val="00557C45"/>
    <w:rPr>
      <w:vertAlign w:val="superscript"/>
    </w:rPr>
  </w:style>
  <w:style w:type="paragraph" w:customStyle="1" w:styleId="Nagwek2">
    <w:name w:val="Nagłówek2"/>
    <w:basedOn w:val="Normalny"/>
    <w:next w:val="Tekstpodstawowy"/>
    <w:rsid w:val="00E57D4F"/>
    <w:pPr>
      <w:keepNext/>
      <w:suppressAutoHyphens/>
      <w:spacing w:before="240" w:after="120"/>
    </w:pPr>
    <w:rPr>
      <w:rFonts w:ascii="Arial" w:eastAsia="Lucida Sans Unicode" w:hAnsi="Arial" w:cs="Tahoma"/>
      <w:sz w:val="28"/>
      <w:szCs w:val="28"/>
      <w:lang w:eastAsia="ar-SA"/>
    </w:rPr>
  </w:style>
  <w:style w:type="character" w:customStyle="1" w:styleId="Nagwek4Znak">
    <w:name w:val="Nagłówek 4 Znak"/>
    <w:basedOn w:val="Domylnaczcionkaakapitu"/>
    <w:link w:val="Nagwek4"/>
    <w:semiHidden/>
    <w:rsid w:val="001D5AA4"/>
    <w:rPr>
      <w:rFonts w:asciiTheme="majorHAnsi" w:eastAsiaTheme="majorEastAsia" w:hAnsiTheme="majorHAnsi" w:cstheme="majorBidi"/>
      <w:i/>
      <w:iCs/>
      <w:color w:val="2E74B5" w:themeColor="accent1" w:themeShade="BF"/>
      <w:sz w:val="24"/>
      <w:szCs w:val="24"/>
    </w:rPr>
  </w:style>
  <w:style w:type="paragraph" w:styleId="Zwykytekst">
    <w:name w:val="Plain Text"/>
    <w:basedOn w:val="Normalny"/>
    <w:link w:val="ZwykytekstZnak"/>
    <w:uiPriority w:val="99"/>
    <w:unhideWhenUsed/>
    <w:rsid w:val="009A0278"/>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9A0278"/>
    <w:rPr>
      <w:rFonts w:ascii="Calibri" w:eastAsiaTheme="minorHAnsi" w:hAnsi="Calibri" w:cstheme="minorBidi"/>
      <w:sz w:val="22"/>
      <w:szCs w:val="21"/>
      <w:lang w:eastAsia="en-US"/>
    </w:rPr>
  </w:style>
  <w:style w:type="paragraph" w:customStyle="1" w:styleId="Standard">
    <w:name w:val="Standard"/>
    <w:rsid w:val="00AD562B"/>
    <w:pPr>
      <w:suppressAutoHyphens/>
      <w:autoSpaceDN w:val="0"/>
      <w:spacing w:after="200" w:line="276" w:lineRule="auto"/>
      <w:textAlignment w:val="baseline"/>
    </w:pPr>
    <w:rPr>
      <w:rFonts w:ascii="Calibri" w:eastAsia="Calibri" w:hAnsi="Calibri"/>
      <w:kern w:val="3"/>
      <w:sz w:val="22"/>
      <w:szCs w:val="22"/>
      <w:lang w:eastAsia="zh-CN"/>
    </w:rPr>
  </w:style>
  <w:style w:type="character" w:customStyle="1" w:styleId="ui-provider">
    <w:name w:val="ui-provider"/>
    <w:basedOn w:val="Domylnaczcionkaakapitu"/>
    <w:rsid w:val="00A37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08175">
      <w:bodyDiv w:val="1"/>
      <w:marLeft w:val="0"/>
      <w:marRight w:val="0"/>
      <w:marTop w:val="0"/>
      <w:marBottom w:val="0"/>
      <w:divBdr>
        <w:top w:val="none" w:sz="0" w:space="0" w:color="auto"/>
        <w:left w:val="none" w:sz="0" w:space="0" w:color="auto"/>
        <w:bottom w:val="none" w:sz="0" w:space="0" w:color="auto"/>
        <w:right w:val="none" w:sz="0" w:space="0" w:color="auto"/>
      </w:divBdr>
    </w:div>
    <w:div w:id="372464068">
      <w:bodyDiv w:val="1"/>
      <w:marLeft w:val="0"/>
      <w:marRight w:val="0"/>
      <w:marTop w:val="0"/>
      <w:marBottom w:val="0"/>
      <w:divBdr>
        <w:top w:val="none" w:sz="0" w:space="0" w:color="auto"/>
        <w:left w:val="none" w:sz="0" w:space="0" w:color="auto"/>
        <w:bottom w:val="none" w:sz="0" w:space="0" w:color="auto"/>
        <w:right w:val="none" w:sz="0" w:space="0" w:color="auto"/>
      </w:divBdr>
    </w:div>
    <w:div w:id="431055184">
      <w:bodyDiv w:val="1"/>
      <w:marLeft w:val="0"/>
      <w:marRight w:val="0"/>
      <w:marTop w:val="0"/>
      <w:marBottom w:val="0"/>
      <w:divBdr>
        <w:top w:val="none" w:sz="0" w:space="0" w:color="auto"/>
        <w:left w:val="none" w:sz="0" w:space="0" w:color="auto"/>
        <w:bottom w:val="none" w:sz="0" w:space="0" w:color="auto"/>
        <w:right w:val="none" w:sz="0" w:space="0" w:color="auto"/>
      </w:divBdr>
    </w:div>
    <w:div w:id="482621711">
      <w:bodyDiv w:val="1"/>
      <w:marLeft w:val="0"/>
      <w:marRight w:val="0"/>
      <w:marTop w:val="0"/>
      <w:marBottom w:val="0"/>
      <w:divBdr>
        <w:top w:val="none" w:sz="0" w:space="0" w:color="auto"/>
        <w:left w:val="none" w:sz="0" w:space="0" w:color="auto"/>
        <w:bottom w:val="none" w:sz="0" w:space="0" w:color="auto"/>
        <w:right w:val="none" w:sz="0" w:space="0" w:color="auto"/>
      </w:divBdr>
    </w:div>
    <w:div w:id="581187504">
      <w:bodyDiv w:val="1"/>
      <w:marLeft w:val="0"/>
      <w:marRight w:val="0"/>
      <w:marTop w:val="0"/>
      <w:marBottom w:val="0"/>
      <w:divBdr>
        <w:top w:val="none" w:sz="0" w:space="0" w:color="auto"/>
        <w:left w:val="none" w:sz="0" w:space="0" w:color="auto"/>
        <w:bottom w:val="none" w:sz="0" w:space="0" w:color="auto"/>
        <w:right w:val="none" w:sz="0" w:space="0" w:color="auto"/>
      </w:divBdr>
      <w:divsChild>
        <w:div w:id="1339693388">
          <w:marLeft w:val="0"/>
          <w:marRight w:val="0"/>
          <w:marTop w:val="0"/>
          <w:marBottom w:val="0"/>
          <w:divBdr>
            <w:top w:val="none" w:sz="0" w:space="0" w:color="auto"/>
            <w:left w:val="none" w:sz="0" w:space="0" w:color="auto"/>
            <w:bottom w:val="none" w:sz="0" w:space="0" w:color="auto"/>
            <w:right w:val="none" w:sz="0" w:space="0" w:color="auto"/>
          </w:divBdr>
        </w:div>
        <w:div w:id="1998916570">
          <w:marLeft w:val="0"/>
          <w:marRight w:val="0"/>
          <w:marTop w:val="0"/>
          <w:marBottom w:val="0"/>
          <w:divBdr>
            <w:top w:val="none" w:sz="0" w:space="0" w:color="auto"/>
            <w:left w:val="none" w:sz="0" w:space="0" w:color="auto"/>
            <w:bottom w:val="none" w:sz="0" w:space="0" w:color="auto"/>
            <w:right w:val="none" w:sz="0" w:space="0" w:color="auto"/>
          </w:divBdr>
        </w:div>
      </w:divsChild>
    </w:div>
    <w:div w:id="606234217">
      <w:bodyDiv w:val="1"/>
      <w:marLeft w:val="0"/>
      <w:marRight w:val="0"/>
      <w:marTop w:val="0"/>
      <w:marBottom w:val="0"/>
      <w:divBdr>
        <w:top w:val="none" w:sz="0" w:space="0" w:color="auto"/>
        <w:left w:val="none" w:sz="0" w:space="0" w:color="auto"/>
        <w:bottom w:val="none" w:sz="0" w:space="0" w:color="auto"/>
        <w:right w:val="none" w:sz="0" w:space="0" w:color="auto"/>
      </w:divBdr>
    </w:div>
    <w:div w:id="641077582">
      <w:bodyDiv w:val="1"/>
      <w:marLeft w:val="0"/>
      <w:marRight w:val="0"/>
      <w:marTop w:val="0"/>
      <w:marBottom w:val="0"/>
      <w:divBdr>
        <w:top w:val="none" w:sz="0" w:space="0" w:color="auto"/>
        <w:left w:val="none" w:sz="0" w:space="0" w:color="auto"/>
        <w:bottom w:val="none" w:sz="0" w:space="0" w:color="auto"/>
        <w:right w:val="none" w:sz="0" w:space="0" w:color="auto"/>
      </w:divBdr>
    </w:div>
    <w:div w:id="672994234">
      <w:bodyDiv w:val="1"/>
      <w:marLeft w:val="0"/>
      <w:marRight w:val="0"/>
      <w:marTop w:val="0"/>
      <w:marBottom w:val="0"/>
      <w:divBdr>
        <w:top w:val="none" w:sz="0" w:space="0" w:color="auto"/>
        <w:left w:val="none" w:sz="0" w:space="0" w:color="auto"/>
        <w:bottom w:val="none" w:sz="0" w:space="0" w:color="auto"/>
        <w:right w:val="none" w:sz="0" w:space="0" w:color="auto"/>
      </w:divBdr>
    </w:div>
    <w:div w:id="755446500">
      <w:bodyDiv w:val="1"/>
      <w:marLeft w:val="0"/>
      <w:marRight w:val="0"/>
      <w:marTop w:val="0"/>
      <w:marBottom w:val="0"/>
      <w:divBdr>
        <w:top w:val="none" w:sz="0" w:space="0" w:color="auto"/>
        <w:left w:val="none" w:sz="0" w:space="0" w:color="auto"/>
        <w:bottom w:val="none" w:sz="0" w:space="0" w:color="auto"/>
        <w:right w:val="none" w:sz="0" w:space="0" w:color="auto"/>
      </w:divBdr>
    </w:div>
    <w:div w:id="785808020">
      <w:bodyDiv w:val="1"/>
      <w:marLeft w:val="0"/>
      <w:marRight w:val="0"/>
      <w:marTop w:val="0"/>
      <w:marBottom w:val="0"/>
      <w:divBdr>
        <w:top w:val="none" w:sz="0" w:space="0" w:color="auto"/>
        <w:left w:val="none" w:sz="0" w:space="0" w:color="auto"/>
        <w:bottom w:val="none" w:sz="0" w:space="0" w:color="auto"/>
        <w:right w:val="none" w:sz="0" w:space="0" w:color="auto"/>
      </w:divBdr>
    </w:div>
    <w:div w:id="822428680">
      <w:bodyDiv w:val="1"/>
      <w:marLeft w:val="0"/>
      <w:marRight w:val="0"/>
      <w:marTop w:val="0"/>
      <w:marBottom w:val="0"/>
      <w:divBdr>
        <w:top w:val="none" w:sz="0" w:space="0" w:color="auto"/>
        <w:left w:val="none" w:sz="0" w:space="0" w:color="auto"/>
        <w:bottom w:val="none" w:sz="0" w:space="0" w:color="auto"/>
        <w:right w:val="none" w:sz="0" w:space="0" w:color="auto"/>
      </w:divBdr>
    </w:div>
    <w:div w:id="827788520">
      <w:bodyDiv w:val="1"/>
      <w:marLeft w:val="0"/>
      <w:marRight w:val="0"/>
      <w:marTop w:val="0"/>
      <w:marBottom w:val="0"/>
      <w:divBdr>
        <w:top w:val="none" w:sz="0" w:space="0" w:color="auto"/>
        <w:left w:val="none" w:sz="0" w:space="0" w:color="auto"/>
        <w:bottom w:val="none" w:sz="0" w:space="0" w:color="auto"/>
        <w:right w:val="none" w:sz="0" w:space="0" w:color="auto"/>
      </w:divBdr>
      <w:divsChild>
        <w:div w:id="105587815">
          <w:marLeft w:val="0"/>
          <w:marRight w:val="0"/>
          <w:marTop w:val="0"/>
          <w:marBottom w:val="0"/>
          <w:divBdr>
            <w:top w:val="none" w:sz="0" w:space="0" w:color="auto"/>
            <w:left w:val="none" w:sz="0" w:space="0" w:color="auto"/>
            <w:bottom w:val="none" w:sz="0" w:space="0" w:color="auto"/>
            <w:right w:val="none" w:sz="0" w:space="0" w:color="auto"/>
          </w:divBdr>
        </w:div>
        <w:div w:id="675958537">
          <w:marLeft w:val="0"/>
          <w:marRight w:val="0"/>
          <w:marTop w:val="0"/>
          <w:marBottom w:val="0"/>
          <w:divBdr>
            <w:top w:val="none" w:sz="0" w:space="0" w:color="auto"/>
            <w:left w:val="none" w:sz="0" w:space="0" w:color="auto"/>
            <w:bottom w:val="none" w:sz="0" w:space="0" w:color="auto"/>
            <w:right w:val="none" w:sz="0" w:space="0" w:color="auto"/>
          </w:divBdr>
        </w:div>
      </w:divsChild>
    </w:div>
    <w:div w:id="833880143">
      <w:bodyDiv w:val="1"/>
      <w:marLeft w:val="0"/>
      <w:marRight w:val="0"/>
      <w:marTop w:val="0"/>
      <w:marBottom w:val="0"/>
      <w:divBdr>
        <w:top w:val="none" w:sz="0" w:space="0" w:color="auto"/>
        <w:left w:val="none" w:sz="0" w:space="0" w:color="auto"/>
        <w:bottom w:val="none" w:sz="0" w:space="0" w:color="auto"/>
        <w:right w:val="none" w:sz="0" w:space="0" w:color="auto"/>
      </w:divBdr>
      <w:divsChild>
        <w:div w:id="1205564012">
          <w:marLeft w:val="0"/>
          <w:marRight w:val="0"/>
          <w:marTop w:val="0"/>
          <w:marBottom w:val="0"/>
          <w:divBdr>
            <w:top w:val="none" w:sz="0" w:space="0" w:color="auto"/>
            <w:left w:val="none" w:sz="0" w:space="0" w:color="auto"/>
            <w:bottom w:val="none" w:sz="0" w:space="0" w:color="auto"/>
            <w:right w:val="none" w:sz="0" w:space="0" w:color="auto"/>
          </w:divBdr>
        </w:div>
        <w:div w:id="1276131330">
          <w:marLeft w:val="0"/>
          <w:marRight w:val="0"/>
          <w:marTop w:val="0"/>
          <w:marBottom w:val="0"/>
          <w:divBdr>
            <w:top w:val="none" w:sz="0" w:space="0" w:color="auto"/>
            <w:left w:val="none" w:sz="0" w:space="0" w:color="auto"/>
            <w:bottom w:val="none" w:sz="0" w:space="0" w:color="auto"/>
            <w:right w:val="none" w:sz="0" w:space="0" w:color="auto"/>
          </w:divBdr>
        </w:div>
      </w:divsChild>
    </w:div>
    <w:div w:id="1004750177">
      <w:bodyDiv w:val="1"/>
      <w:marLeft w:val="0"/>
      <w:marRight w:val="0"/>
      <w:marTop w:val="0"/>
      <w:marBottom w:val="0"/>
      <w:divBdr>
        <w:top w:val="none" w:sz="0" w:space="0" w:color="auto"/>
        <w:left w:val="none" w:sz="0" w:space="0" w:color="auto"/>
        <w:bottom w:val="none" w:sz="0" w:space="0" w:color="auto"/>
        <w:right w:val="none" w:sz="0" w:space="0" w:color="auto"/>
      </w:divBdr>
    </w:div>
    <w:div w:id="1055277690">
      <w:bodyDiv w:val="1"/>
      <w:marLeft w:val="0"/>
      <w:marRight w:val="0"/>
      <w:marTop w:val="0"/>
      <w:marBottom w:val="0"/>
      <w:divBdr>
        <w:top w:val="none" w:sz="0" w:space="0" w:color="auto"/>
        <w:left w:val="none" w:sz="0" w:space="0" w:color="auto"/>
        <w:bottom w:val="none" w:sz="0" w:space="0" w:color="auto"/>
        <w:right w:val="none" w:sz="0" w:space="0" w:color="auto"/>
      </w:divBdr>
    </w:div>
    <w:div w:id="1060249148">
      <w:bodyDiv w:val="1"/>
      <w:marLeft w:val="0"/>
      <w:marRight w:val="0"/>
      <w:marTop w:val="0"/>
      <w:marBottom w:val="0"/>
      <w:divBdr>
        <w:top w:val="none" w:sz="0" w:space="0" w:color="auto"/>
        <w:left w:val="none" w:sz="0" w:space="0" w:color="auto"/>
        <w:bottom w:val="none" w:sz="0" w:space="0" w:color="auto"/>
        <w:right w:val="none" w:sz="0" w:space="0" w:color="auto"/>
      </w:divBdr>
    </w:div>
    <w:div w:id="1074737225">
      <w:bodyDiv w:val="1"/>
      <w:marLeft w:val="0"/>
      <w:marRight w:val="0"/>
      <w:marTop w:val="0"/>
      <w:marBottom w:val="0"/>
      <w:divBdr>
        <w:top w:val="none" w:sz="0" w:space="0" w:color="auto"/>
        <w:left w:val="none" w:sz="0" w:space="0" w:color="auto"/>
        <w:bottom w:val="none" w:sz="0" w:space="0" w:color="auto"/>
        <w:right w:val="none" w:sz="0" w:space="0" w:color="auto"/>
      </w:divBdr>
    </w:div>
    <w:div w:id="1151826552">
      <w:bodyDiv w:val="1"/>
      <w:marLeft w:val="0"/>
      <w:marRight w:val="0"/>
      <w:marTop w:val="0"/>
      <w:marBottom w:val="0"/>
      <w:divBdr>
        <w:top w:val="none" w:sz="0" w:space="0" w:color="auto"/>
        <w:left w:val="none" w:sz="0" w:space="0" w:color="auto"/>
        <w:bottom w:val="none" w:sz="0" w:space="0" w:color="auto"/>
        <w:right w:val="none" w:sz="0" w:space="0" w:color="auto"/>
      </w:divBdr>
    </w:div>
    <w:div w:id="1156528904">
      <w:bodyDiv w:val="1"/>
      <w:marLeft w:val="0"/>
      <w:marRight w:val="0"/>
      <w:marTop w:val="0"/>
      <w:marBottom w:val="0"/>
      <w:divBdr>
        <w:top w:val="none" w:sz="0" w:space="0" w:color="auto"/>
        <w:left w:val="none" w:sz="0" w:space="0" w:color="auto"/>
        <w:bottom w:val="none" w:sz="0" w:space="0" w:color="auto"/>
        <w:right w:val="none" w:sz="0" w:space="0" w:color="auto"/>
      </w:divBdr>
    </w:div>
    <w:div w:id="1284917922">
      <w:bodyDiv w:val="1"/>
      <w:marLeft w:val="0"/>
      <w:marRight w:val="0"/>
      <w:marTop w:val="0"/>
      <w:marBottom w:val="0"/>
      <w:divBdr>
        <w:top w:val="none" w:sz="0" w:space="0" w:color="auto"/>
        <w:left w:val="none" w:sz="0" w:space="0" w:color="auto"/>
        <w:bottom w:val="none" w:sz="0" w:space="0" w:color="auto"/>
        <w:right w:val="none" w:sz="0" w:space="0" w:color="auto"/>
      </w:divBdr>
    </w:div>
    <w:div w:id="1305744594">
      <w:bodyDiv w:val="1"/>
      <w:marLeft w:val="0"/>
      <w:marRight w:val="0"/>
      <w:marTop w:val="0"/>
      <w:marBottom w:val="0"/>
      <w:divBdr>
        <w:top w:val="none" w:sz="0" w:space="0" w:color="auto"/>
        <w:left w:val="none" w:sz="0" w:space="0" w:color="auto"/>
        <w:bottom w:val="none" w:sz="0" w:space="0" w:color="auto"/>
        <w:right w:val="none" w:sz="0" w:space="0" w:color="auto"/>
      </w:divBdr>
    </w:div>
    <w:div w:id="1409420889">
      <w:bodyDiv w:val="1"/>
      <w:marLeft w:val="0"/>
      <w:marRight w:val="0"/>
      <w:marTop w:val="0"/>
      <w:marBottom w:val="0"/>
      <w:divBdr>
        <w:top w:val="none" w:sz="0" w:space="0" w:color="auto"/>
        <w:left w:val="none" w:sz="0" w:space="0" w:color="auto"/>
        <w:bottom w:val="none" w:sz="0" w:space="0" w:color="auto"/>
        <w:right w:val="none" w:sz="0" w:space="0" w:color="auto"/>
      </w:divBdr>
    </w:div>
    <w:div w:id="1446384359">
      <w:bodyDiv w:val="1"/>
      <w:marLeft w:val="0"/>
      <w:marRight w:val="0"/>
      <w:marTop w:val="0"/>
      <w:marBottom w:val="0"/>
      <w:divBdr>
        <w:top w:val="none" w:sz="0" w:space="0" w:color="auto"/>
        <w:left w:val="none" w:sz="0" w:space="0" w:color="auto"/>
        <w:bottom w:val="none" w:sz="0" w:space="0" w:color="auto"/>
        <w:right w:val="none" w:sz="0" w:space="0" w:color="auto"/>
      </w:divBdr>
    </w:div>
    <w:div w:id="1472598465">
      <w:bodyDiv w:val="1"/>
      <w:marLeft w:val="0"/>
      <w:marRight w:val="0"/>
      <w:marTop w:val="0"/>
      <w:marBottom w:val="0"/>
      <w:divBdr>
        <w:top w:val="none" w:sz="0" w:space="0" w:color="auto"/>
        <w:left w:val="none" w:sz="0" w:space="0" w:color="auto"/>
        <w:bottom w:val="none" w:sz="0" w:space="0" w:color="auto"/>
        <w:right w:val="none" w:sz="0" w:space="0" w:color="auto"/>
      </w:divBdr>
    </w:div>
    <w:div w:id="1475367868">
      <w:bodyDiv w:val="1"/>
      <w:marLeft w:val="0"/>
      <w:marRight w:val="0"/>
      <w:marTop w:val="0"/>
      <w:marBottom w:val="0"/>
      <w:divBdr>
        <w:top w:val="none" w:sz="0" w:space="0" w:color="auto"/>
        <w:left w:val="none" w:sz="0" w:space="0" w:color="auto"/>
        <w:bottom w:val="none" w:sz="0" w:space="0" w:color="auto"/>
        <w:right w:val="none" w:sz="0" w:space="0" w:color="auto"/>
      </w:divBdr>
      <w:divsChild>
        <w:div w:id="1762526711">
          <w:marLeft w:val="0"/>
          <w:marRight w:val="0"/>
          <w:marTop w:val="0"/>
          <w:marBottom w:val="0"/>
          <w:divBdr>
            <w:top w:val="none" w:sz="0" w:space="0" w:color="auto"/>
            <w:left w:val="none" w:sz="0" w:space="0" w:color="auto"/>
            <w:bottom w:val="none" w:sz="0" w:space="0" w:color="auto"/>
            <w:right w:val="none" w:sz="0" w:space="0" w:color="auto"/>
          </w:divBdr>
        </w:div>
        <w:div w:id="1900746269">
          <w:marLeft w:val="0"/>
          <w:marRight w:val="0"/>
          <w:marTop w:val="0"/>
          <w:marBottom w:val="0"/>
          <w:divBdr>
            <w:top w:val="none" w:sz="0" w:space="0" w:color="auto"/>
            <w:left w:val="none" w:sz="0" w:space="0" w:color="auto"/>
            <w:bottom w:val="none" w:sz="0" w:space="0" w:color="auto"/>
            <w:right w:val="none" w:sz="0" w:space="0" w:color="auto"/>
          </w:divBdr>
        </w:div>
      </w:divsChild>
    </w:div>
    <w:div w:id="1481119381">
      <w:bodyDiv w:val="1"/>
      <w:marLeft w:val="0"/>
      <w:marRight w:val="0"/>
      <w:marTop w:val="0"/>
      <w:marBottom w:val="0"/>
      <w:divBdr>
        <w:top w:val="none" w:sz="0" w:space="0" w:color="auto"/>
        <w:left w:val="none" w:sz="0" w:space="0" w:color="auto"/>
        <w:bottom w:val="none" w:sz="0" w:space="0" w:color="auto"/>
        <w:right w:val="none" w:sz="0" w:space="0" w:color="auto"/>
      </w:divBdr>
      <w:divsChild>
        <w:div w:id="116138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795528">
      <w:bodyDiv w:val="1"/>
      <w:marLeft w:val="0"/>
      <w:marRight w:val="0"/>
      <w:marTop w:val="0"/>
      <w:marBottom w:val="0"/>
      <w:divBdr>
        <w:top w:val="none" w:sz="0" w:space="0" w:color="auto"/>
        <w:left w:val="none" w:sz="0" w:space="0" w:color="auto"/>
        <w:bottom w:val="none" w:sz="0" w:space="0" w:color="auto"/>
        <w:right w:val="none" w:sz="0" w:space="0" w:color="auto"/>
      </w:divBdr>
    </w:div>
    <w:div w:id="1565606133">
      <w:bodyDiv w:val="1"/>
      <w:marLeft w:val="0"/>
      <w:marRight w:val="0"/>
      <w:marTop w:val="0"/>
      <w:marBottom w:val="0"/>
      <w:divBdr>
        <w:top w:val="none" w:sz="0" w:space="0" w:color="auto"/>
        <w:left w:val="none" w:sz="0" w:space="0" w:color="auto"/>
        <w:bottom w:val="none" w:sz="0" w:space="0" w:color="auto"/>
        <w:right w:val="none" w:sz="0" w:space="0" w:color="auto"/>
      </w:divBdr>
      <w:divsChild>
        <w:div w:id="640428514">
          <w:marLeft w:val="0"/>
          <w:marRight w:val="0"/>
          <w:marTop w:val="0"/>
          <w:marBottom w:val="0"/>
          <w:divBdr>
            <w:top w:val="none" w:sz="0" w:space="0" w:color="auto"/>
            <w:left w:val="none" w:sz="0" w:space="0" w:color="auto"/>
            <w:bottom w:val="none" w:sz="0" w:space="0" w:color="auto"/>
            <w:right w:val="none" w:sz="0" w:space="0" w:color="auto"/>
          </w:divBdr>
        </w:div>
        <w:div w:id="1757677166">
          <w:marLeft w:val="0"/>
          <w:marRight w:val="0"/>
          <w:marTop w:val="0"/>
          <w:marBottom w:val="0"/>
          <w:divBdr>
            <w:top w:val="none" w:sz="0" w:space="0" w:color="auto"/>
            <w:left w:val="none" w:sz="0" w:space="0" w:color="auto"/>
            <w:bottom w:val="none" w:sz="0" w:space="0" w:color="auto"/>
            <w:right w:val="none" w:sz="0" w:space="0" w:color="auto"/>
          </w:divBdr>
        </w:div>
        <w:div w:id="846555990">
          <w:marLeft w:val="0"/>
          <w:marRight w:val="0"/>
          <w:marTop w:val="0"/>
          <w:marBottom w:val="0"/>
          <w:divBdr>
            <w:top w:val="none" w:sz="0" w:space="0" w:color="auto"/>
            <w:left w:val="none" w:sz="0" w:space="0" w:color="auto"/>
            <w:bottom w:val="none" w:sz="0" w:space="0" w:color="auto"/>
            <w:right w:val="none" w:sz="0" w:space="0" w:color="auto"/>
          </w:divBdr>
        </w:div>
      </w:divsChild>
    </w:div>
    <w:div w:id="1609241101">
      <w:bodyDiv w:val="1"/>
      <w:marLeft w:val="0"/>
      <w:marRight w:val="0"/>
      <w:marTop w:val="0"/>
      <w:marBottom w:val="0"/>
      <w:divBdr>
        <w:top w:val="none" w:sz="0" w:space="0" w:color="auto"/>
        <w:left w:val="none" w:sz="0" w:space="0" w:color="auto"/>
        <w:bottom w:val="none" w:sz="0" w:space="0" w:color="auto"/>
        <w:right w:val="none" w:sz="0" w:space="0" w:color="auto"/>
      </w:divBdr>
    </w:div>
    <w:div w:id="1667704376">
      <w:bodyDiv w:val="1"/>
      <w:marLeft w:val="0"/>
      <w:marRight w:val="0"/>
      <w:marTop w:val="0"/>
      <w:marBottom w:val="0"/>
      <w:divBdr>
        <w:top w:val="none" w:sz="0" w:space="0" w:color="auto"/>
        <w:left w:val="none" w:sz="0" w:space="0" w:color="auto"/>
        <w:bottom w:val="none" w:sz="0" w:space="0" w:color="auto"/>
        <w:right w:val="none" w:sz="0" w:space="0" w:color="auto"/>
      </w:divBdr>
    </w:div>
    <w:div w:id="1913857278">
      <w:bodyDiv w:val="1"/>
      <w:marLeft w:val="0"/>
      <w:marRight w:val="0"/>
      <w:marTop w:val="0"/>
      <w:marBottom w:val="0"/>
      <w:divBdr>
        <w:top w:val="none" w:sz="0" w:space="0" w:color="auto"/>
        <w:left w:val="none" w:sz="0" w:space="0" w:color="auto"/>
        <w:bottom w:val="none" w:sz="0" w:space="0" w:color="auto"/>
        <w:right w:val="none" w:sz="0" w:space="0" w:color="auto"/>
      </w:divBdr>
    </w:div>
    <w:div w:id="1918443725">
      <w:bodyDiv w:val="1"/>
      <w:marLeft w:val="0"/>
      <w:marRight w:val="0"/>
      <w:marTop w:val="0"/>
      <w:marBottom w:val="0"/>
      <w:divBdr>
        <w:top w:val="none" w:sz="0" w:space="0" w:color="auto"/>
        <w:left w:val="none" w:sz="0" w:space="0" w:color="auto"/>
        <w:bottom w:val="none" w:sz="0" w:space="0" w:color="auto"/>
        <w:right w:val="none" w:sz="0" w:space="0" w:color="auto"/>
      </w:divBdr>
      <w:divsChild>
        <w:div w:id="1639725501">
          <w:marLeft w:val="0"/>
          <w:marRight w:val="0"/>
          <w:marTop w:val="0"/>
          <w:marBottom w:val="0"/>
          <w:divBdr>
            <w:top w:val="none" w:sz="0" w:space="0" w:color="auto"/>
            <w:left w:val="none" w:sz="0" w:space="0" w:color="auto"/>
            <w:bottom w:val="none" w:sz="0" w:space="0" w:color="auto"/>
            <w:right w:val="none" w:sz="0" w:space="0" w:color="auto"/>
          </w:divBdr>
        </w:div>
        <w:div w:id="628511069">
          <w:marLeft w:val="0"/>
          <w:marRight w:val="0"/>
          <w:marTop w:val="0"/>
          <w:marBottom w:val="0"/>
          <w:divBdr>
            <w:top w:val="none" w:sz="0" w:space="0" w:color="auto"/>
            <w:left w:val="none" w:sz="0" w:space="0" w:color="auto"/>
            <w:bottom w:val="none" w:sz="0" w:space="0" w:color="auto"/>
            <w:right w:val="none" w:sz="0" w:space="0" w:color="auto"/>
          </w:divBdr>
        </w:div>
        <w:div w:id="2092388330">
          <w:marLeft w:val="0"/>
          <w:marRight w:val="0"/>
          <w:marTop w:val="0"/>
          <w:marBottom w:val="0"/>
          <w:divBdr>
            <w:top w:val="none" w:sz="0" w:space="0" w:color="auto"/>
            <w:left w:val="none" w:sz="0" w:space="0" w:color="auto"/>
            <w:bottom w:val="none" w:sz="0" w:space="0" w:color="auto"/>
            <w:right w:val="none" w:sz="0" w:space="0" w:color="auto"/>
          </w:divBdr>
        </w:div>
      </w:divsChild>
    </w:div>
    <w:div w:id="1982998411">
      <w:bodyDiv w:val="1"/>
      <w:marLeft w:val="0"/>
      <w:marRight w:val="0"/>
      <w:marTop w:val="0"/>
      <w:marBottom w:val="0"/>
      <w:divBdr>
        <w:top w:val="none" w:sz="0" w:space="0" w:color="auto"/>
        <w:left w:val="none" w:sz="0" w:space="0" w:color="auto"/>
        <w:bottom w:val="none" w:sz="0" w:space="0" w:color="auto"/>
        <w:right w:val="none" w:sz="0" w:space="0" w:color="auto"/>
      </w:divBdr>
    </w:div>
    <w:div w:id="20179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7B777-0B1F-4F99-8658-DFC59193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1128</Words>
  <Characters>7053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Aleksandrów Łódzki, dn</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Aleksandrów Łódzki, dn</dc:title>
  <dc:subject/>
  <dc:creator>UGAL</dc:creator>
  <cp:keywords/>
  <dc:description/>
  <cp:lastModifiedBy>Artur Golinia</cp:lastModifiedBy>
  <cp:revision>5</cp:revision>
  <cp:lastPrinted>2024-12-19T14:47:00Z</cp:lastPrinted>
  <dcterms:created xsi:type="dcterms:W3CDTF">2024-12-19T14:44:00Z</dcterms:created>
  <dcterms:modified xsi:type="dcterms:W3CDTF">2024-12-20T10:41:00Z</dcterms:modified>
</cp:coreProperties>
</file>