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AB37"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3865DC10"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w:t>
      </w:r>
      <w:bookmarkStart w:id="0" w:name="_Hlk165378817"/>
      <w:r w:rsidRPr="00847F2B">
        <w:rPr>
          <w:rFonts w:ascii="Arial" w:hAnsi="Arial" w:cs="Arial"/>
          <w:sz w:val="20"/>
          <w:szCs w:val="20"/>
        </w:rPr>
        <w:t xml:space="preserve">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w:t>
      </w:r>
      <w:r w:rsidR="00E71C57">
        <w:rPr>
          <w:rFonts w:ascii="Arial" w:hAnsi="Arial" w:cs="Arial"/>
          <w:sz w:val="20"/>
          <w:szCs w:val="20"/>
        </w:rPr>
        <w:t>3</w:t>
      </w:r>
      <w:r w:rsidR="002101DA">
        <w:rPr>
          <w:rFonts w:ascii="Arial" w:hAnsi="Arial" w:cs="Arial"/>
          <w:sz w:val="20"/>
          <w:szCs w:val="20"/>
        </w:rPr>
        <w:t>.1</w:t>
      </w:r>
      <w:r w:rsidR="00E71C57">
        <w:rPr>
          <w:rFonts w:ascii="Arial" w:hAnsi="Arial" w:cs="Arial"/>
          <w:sz w:val="20"/>
          <w:szCs w:val="20"/>
        </w:rPr>
        <w:t>605</w:t>
      </w:r>
      <w:r w:rsidRPr="00847F2B">
        <w:rPr>
          <w:rFonts w:ascii="Arial" w:hAnsi="Arial" w:cs="Arial"/>
          <w:sz w:val="20"/>
          <w:szCs w:val="20"/>
        </w:rPr>
        <w:t xml:space="preserve">) na robotę budowlaną </w:t>
      </w:r>
      <w:bookmarkEnd w:id="0"/>
      <w:r w:rsidR="00465F49" w:rsidRPr="00847F2B">
        <w:rPr>
          <w:rFonts w:ascii="Arial" w:hAnsi="Arial" w:cs="Arial"/>
          <w:sz w:val="20"/>
          <w:szCs w:val="20"/>
        </w:rPr>
        <w:t>pn.</w:t>
      </w:r>
    </w:p>
    <w:p w14:paraId="1CF5843C" w14:textId="353F3EF6" w:rsidR="00A556C4" w:rsidRPr="0010702C" w:rsidRDefault="00E71C57" w:rsidP="0010702C">
      <w:pPr>
        <w:jc w:val="center"/>
        <w:rPr>
          <w:rFonts w:ascii="Arial" w:hAnsi="Arial" w:cs="Arial"/>
          <w:b/>
          <w:sz w:val="20"/>
        </w:rPr>
      </w:pPr>
      <w:bookmarkStart w:id="1" w:name="_Hlk177725611"/>
      <w:r w:rsidRPr="0010702C">
        <w:rPr>
          <w:rFonts w:ascii="Arial" w:hAnsi="Arial" w:cs="Arial"/>
          <w:b/>
          <w:sz w:val="20"/>
          <w:szCs w:val="20"/>
        </w:rPr>
        <w:t>"</w:t>
      </w:r>
      <w:bookmarkStart w:id="2" w:name="_Hlk164684517"/>
      <w:r w:rsidRPr="0010702C">
        <w:rPr>
          <w:rFonts w:ascii="Arial" w:hAnsi="Arial" w:cs="Arial"/>
          <w:b/>
          <w:sz w:val="20"/>
          <w:szCs w:val="20"/>
        </w:rPr>
        <w:t xml:space="preserve">Budowa </w:t>
      </w:r>
      <w:bookmarkEnd w:id="2"/>
      <w:r w:rsidR="00107072" w:rsidRPr="0010702C">
        <w:rPr>
          <w:rFonts w:ascii="Arial" w:hAnsi="Arial" w:cs="Arial"/>
          <w:b/>
          <w:sz w:val="20"/>
        </w:rPr>
        <w:t>sieci</w:t>
      </w:r>
      <w:r w:rsidR="004C0E65" w:rsidRPr="0010702C">
        <w:rPr>
          <w:rFonts w:ascii="Arial" w:hAnsi="Arial" w:cs="Arial"/>
          <w:b/>
          <w:sz w:val="20"/>
        </w:rPr>
        <w:t xml:space="preserve"> kanalizacji sanitarnej w obrębie ul</w:t>
      </w:r>
      <w:r w:rsidR="0010702C">
        <w:rPr>
          <w:rFonts w:ascii="Arial" w:hAnsi="Arial" w:cs="Arial"/>
          <w:b/>
          <w:sz w:val="20"/>
        </w:rPr>
        <w:t>ic</w:t>
      </w:r>
      <w:r w:rsidR="00243B4D">
        <w:rPr>
          <w:rFonts w:ascii="Arial" w:hAnsi="Arial" w:cs="Arial"/>
          <w:b/>
          <w:sz w:val="20"/>
        </w:rPr>
        <w:t xml:space="preserve"> </w:t>
      </w:r>
      <w:r w:rsidR="004C0E65" w:rsidRPr="0010702C">
        <w:rPr>
          <w:rFonts w:ascii="Arial" w:hAnsi="Arial" w:cs="Arial"/>
          <w:b/>
          <w:sz w:val="20"/>
        </w:rPr>
        <w:t xml:space="preserve">Środkowej i Końcowej </w:t>
      </w:r>
      <w:r w:rsidRPr="0010702C">
        <w:rPr>
          <w:rFonts w:ascii="Arial" w:hAnsi="Arial" w:cs="Arial"/>
          <w:b/>
          <w:sz w:val="20"/>
          <w:szCs w:val="20"/>
        </w:rPr>
        <w:t>”</w:t>
      </w:r>
    </w:p>
    <w:bookmarkEnd w:id="1"/>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5F90C483"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763BDD">
        <w:rPr>
          <w:rFonts w:ascii="Arial" w:hAnsi="Arial" w:cs="Arial"/>
          <w:sz w:val="20"/>
          <w:szCs w:val="20"/>
        </w:rPr>
        <w:t>05/10/2024</w:t>
      </w:r>
    </w:p>
    <w:p w14:paraId="1A1F6A81" w14:textId="5C664C56"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E71C57">
        <w:rPr>
          <w:rFonts w:cs="Arial"/>
          <w:caps/>
          <w:sz w:val="20"/>
        </w:rPr>
        <w:t>4</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45580321" w14:textId="76656F3B" w:rsidR="00A85B18" w:rsidRPr="00CD51A7" w:rsidRDefault="00171095" w:rsidP="00CD51A7">
      <w:pPr>
        <w:spacing w:line="360" w:lineRule="auto"/>
        <w:rPr>
          <w:rFonts w:ascii="Arial" w:hAnsi="Arial" w:cs="Arial"/>
          <w:b/>
          <w:sz w:val="20"/>
          <w:szCs w:val="20"/>
        </w:rPr>
      </w:pPr>
      <w:r w:rsidRPr="00CD51A7">
        <w:rPr>
          <w:rFonts w:ascii="Arial" w:hAnsi="Arial" w:cs="Arial"/>
          <w:b/>
          <w:sz w:val="20"/>
          <w:szCs w:val="20"/>
        </w:rPr>
        <w:t>1.</w:t>
      </w:r>
      <w:r w:rsidRPr="00CD51A7">
        <w:rPr>
          <w:rFonts w:ascii="Arial" w:hAnsi="Arial" w:cs="Arial"/>
          <w:b/>
          <w:sz w:val="20"/>
          <w:szCs w:val="20"/>
        </w:rPr>
        <w:tab/>
      </w:r>
      <w:r w:rsidR="00E37F70" w:rsidRPr="00CD51A7">
        <w:rPr>
          <w:rFonts w:ascii="Arial" w:hAnsi="Arial" w:cs="Arial"/>
          <w:sz w:val="20"/>
          <w:szCs w:val="20"/>
        </w:rPr>
        <w:t>Przedmiotem zamówienia jest</w:t>
      </w:r>
      <w:r w:rsidR="006204E8" w:rsidRPr="00CD51A7">
        <w:rPr>
          <w:rFonts w:ascii="Arial" w:hAnsi="Arial" w:cs="Arial"/>
          <w:sz w:val="20"/>
          <w:szCs w:val="20"/>
        </w:rPr>
        <w:t xml:space="preserve"> </w:t>
      </w:r>
      <w:r w:rsidR="0010702C" w:rsidRPr="00CD51A7">
        <w:rPr>
          <w:rFonts w:ascii="Arial" w:hAnsi="Arial" w:cs="Arial"/>
          <w:b/>
          <w:sz w:val="20"/>
          <w:szCs w:val="20"/>
        </w:rPr>
        <w:t>"Budowa sieci kanalizacji sanitarnej w obrębie ulic Środkowej i</w:t>
      </w:r>
      <w:r w:rsidR="00CD51A7">
        <w:rPr>
          <w:rFonts w:ascii="Arial" w:hAnsi="Arial" w:cs="Arial"/>
          <w:b/>
          <w:sz w:val="20"/>
          <w:szCs w:val="20"/>
        </w:rPr>
        <w:t> </w:t>
      </w:r>
      <w:r w:rsidR="0010702C" w:rsidRPr="00CD51A7">
        <w:rPr>
          <w:rFonts w:ascii="Arial" w:hAnsi="Arial" w:cs="Arial"/>
          <w:b/>
          <w:sz w:val="20"/>
          <w:szCs w:val="20"/>
        </w:rPr>
        <w:t>Końcowej ”</w:t>
      </w:r>
      <w:r w:rsidR="00972CA2" w:rsidRPr="00CD51A7">
        <w:rPr>
          <w:rFonts w:ascii="Arial" w:hAnsi="Arial" w:cs="Arial"/>
          <w:b/>
          <w:bCs/>
          <w:sz w:val="20"/>
          <w:szCs w:val="20"/>
        </w:rPr>
        <w:t xml:space="preserve"> </w:t>
      </w:r>
      <w:r w:rsidR="00CD51A7">
        <w:rPr>
          <w:rFonts w:ascii="Arial" w:hAnsi="Arial" w:cs="Arial"/>
          <w:b/>
          <w:bCs/>
          <w:sz w:val="20"/>
          <w:szCs w:val="20"/>
        </w:rPr>
        <w:t xml:space="preserve"> </w:t>
      </w:r>
      <w:r w:rsidR="00972CA2" w:rsidRPr="00CD51A7">
        <w:rPr>
          <w:rFonts w:ascii="Arial" w:hAnsi="Arial" w:cs="Arial"/>
          <w:b/>
          <w:sz w:val="20"/>
          <w:szCs w:val="20"/>
        </w:rPr>
        <w:t xml:space="preserve">PVC Ø  250 o długości ok. 320 </w:t>
      </w:r>
      <w:proofErr w:type="spellStart"/>
      <w:r w:rsidR="00972CA2" w:rsidRPr="00CD51A7">
        <w:rPr>
          <w:rFonts w:ascii="Arial" w:hAnsi="Arial" w:cs="Arial"/>
          <w:b/>
          <w:sz w:val="20"/>
          <w:szCs w:val="20"/>
        </w:rPr>
        <w:t>mb</w:t>
      </w:r>
      <w:proofErr w:type="spellEnd"/>
      <w:r w:rsidR="00247349">
        <w:rPr>
          <w:rFonts w:ascii="Arial" w:hAnsi="Arial" w:cs="Arial"/>
          <w:b/>
          <w:sz w:val="20"/>
          <w:szCs w:val="20"/>
        </w:rPr>
        <w:t xml:space="preserve"> (zakres przedstawiono na rysunkach PZT zakres 01 i PZT zakres 02).</w:t>
      </w:r>
    </w:p>
    <w:p w14:paraId="5B89909E" w14:textId="06854DBD" w:rsidR="000F028F" w:rsidRPr="00FA4CE0" w:rsidRDefault="000F028F" w:rsidP="000F028F">
      <w:pPr>
        <w:jc w:val="both"/>
        <w:rPr>
          <w:rFonts w:ascii="Arial" w:hAnsi="Arial" w:cs="Arial"/>
          <w:b/>
          <w:sz w:val="22"/>
          <w:szCs w:val="22"/>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1A22BC"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45000000-7 – Roboty budowlane</w:t>
      </w:r>
    </w:p>
    <w:p w14:paraId="13B37425" w14:textId="426B8A43"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45231300-8 – Roboty budowlane w zakresie budowy wodociągów i rurociągów</w:t>
      </w:r>
      <w:r w:rsidR="002231CC">
        <w:rPr>
          <w:rFonts w:ascii="Arial" w:hAnsi="Arial" w:cs="Arial"/>
          <w:color w:val="000000"/>
          <w:sz w:val="20"/>
          <w:szCs w:val="20"/>
        </w:rPr>
        <w:t xml:space="preserve"> do odprowadzania ścieków</w:t>
      </w:r>
      <w:r w:rsidRPr="00363D26">
        <w:rPr>
          <w:rFonts w:ascii="Arial" w:hAnsi="Arial" w:cs="Arial"/>
          <w:color w:val="000000"/>
          <w:sz w:val="20"/>
          <w:szCs w:val="20"/>
        </w:rPr>
        <w:t xml:space="preserve"> </w:t>
      </w:r>
    </w:p>
    <w:p w14:paraId="667B6DDB"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45111240-2 – Roboty w zakresie odwadniania gruntu</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5B7547E4" w:rsidR="00E075A8" w:rsidRPr="00847F2B" w:rsidRDefault="004B43D6" w:rsidP="00521EEF">
      <w:pPr>
        <w:spacing w:line="360" w:lineRule="auto"/>
        <w:jc w:val="both"/>
        <w:rPr>
          <w:rFonts w:ascii="Arial" w:hAnsi="Arial" w:cs="Arial"/>
          <w:b/>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E71C57">
        <w:rPr>
          <w:rFonts w:ascii="Arial" w:hAnsi="Arial" w:cs="Arial"/>
          <w:b/>
          <w:sz w:val="20"/>
          <w:szCs w:val="20"/>
        </w:rPr>
        <w:t xml:space="preserve"> </w:t>
      </w:r>
      <w:r w:rsidR="00521EEF">
        <w:rPr>
          <w:rFonts w:ascii="Arial" w:hAnsi="Arial" w:cs="Arial"/>
          <w:b/>
          <w:sz w:val="20"/>
          <w:szCs w:val="20"/>
        </w:rPr>
        <w:t xml:space="preserve">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w:t>
      </w:r>
      <w:r w:rsidR="00521EEF">
        <w:rPr>
          <w:rFonts w:ascii="Arial" w:hAnsi="Arial" w:cs="Arial"/>
          <w:b/>
          <w:sz w:val="20"/>
          <w:szCs w:val="20"/>
        </w:rPr>
        <w:t xml:space="preserve"> robót.</w:t>
      </w: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5E57E816" w14:textId="09D93962" w:rsidR="006A7A09" w:rsidRPr="00847F2B" w:rsidRDefault="00171095" w:rsidP="00972CA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 xml:space="preserve">Zamawiający </w:t>
      </w:r>
      <w:r w:rsidR="00972CA2">
        <w:rPr>
          <w:rFonts w:ascii="Arial" w:hAnsi="Arial" w:cs="Arial"/>
          <w:sz w:val="20"/>
        </w:rPr>
        <w:t>nie wymaga przeprowadzenia wizji lokalnej.</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052773B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9C3891">
        <w:rPr>
          <w:rFonts w:ascii="Arial" w:hAnsi="Arial" w:cs="Arial"/>
          <w:sz w:val="20"/>
        </w:rPr>
        <w:t xml:space="preserve">Zamawiający </w:t>
      </w:r>
      <w:r w:rsidR="00582C38" w:rsidRPr="009C3891">
        <w:rPr>
          <w:rFonts w:ascii="Arial" w:hAnsi="Arial" w:cs="Arial"/>
          <w:b/>
          <w:sz w:val="20"/>
        </w:rPr>
        <w:t>zastrzega</w:t>
      </w:r>
      <w:r w:rsidR="00521EEF" w:rsidRPr="009C3891">
        <w:rPr>
          <w:rFonts w:ascii="Arial" w:hAnsi="Arial" w:cs="Arial"/>
          <w:sz w:val="20"/>
        </w:rPr>
        <w:t xml:space="preserve"> obowiąz</w:t>
      </w:r>
      <w:r w:rsidR="002843BA" w:rsidRPr="009C3891">
        <w:rPr>
          <w:rFonts w:ascii="Arial" w:hAnsi="Arial" w:cs="Arial"/>
          <w:sz w:val="20"/>
        </w:rPr>
        <w:t>e</w:t>
      </w:r>
      <w:r w:rsidR="00521EEF" w:rsidRPr="009C3891">
        <w:rPr>
          <w:rFonts w:ascii="Arial" w:hAnsi="Arial" w:cs="Arial"/>
          <w:sz w:val="20"/>
        </w:rPr>
        <w:t>k</w:t>
      </w:r>
      <w:r w:rsidR="002843BA" w:rsidRPr="009C3891">
        <w:rPr>
          <w:rFonts w:ascii="Arial" w:hAnsi="Arial" w:cs="Arial"/>
          <w:sz w:val="20"/>
        </w:rPr>
        <w:t xml:space="preserve"> </w:t>
      </w:r>
      <w:r w:rsidR="00582C38" w:rsidRPr="009C3891">
        <w:rPr>
          <w:rFonts w:ascii="Arial" w:hAnsi="Arial" w:cs="Arial"/>
          <w:sz w:val="20"/>
        </w:rPr>
        <w:t>osobistego wykonania przez Wykonawcę kluczowych części zamówienia</w:t>
      </w:r>
      <w:r w:rsidR="007F05AB" w:rsidRPr="009C3891">
        <w:rPr>
          <w:rStyle w:val="Odwoanieprzypisudolnego"/>
          <w:rFonts w:ascii="Arial" w:hAnsi="Arial" w:cs="Arial"/>
        </w:rPr>
        <w:t xml:space="preserve"> </w:t>
      </w:r>
      <w:r w:rsidR="002843BA" w:rsidRPr="009C3891">
        <w:rPr>
          <w:rFonts w:ascii="Arial" w:hAnsi="Arial" w:cs="Arial"/>
          <w:b/>
          <w:sz w:val="20"/>
        </w:rPr>
        <w:t>tj. robót w zakresie budowy kanalizacji sanitarnej.</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3C6978AD"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763BDD">
        <w:rPr>
          <w:rFonts w:ascii="Arial" w:hAnsi="Arial" w:cs="Arial"/>
          <w:b/>
          <w:sz w:val="20"/>
        </w:rPr>
        <w:t>5</w:t>
      </w:r>
      <w:r w:rsidR="00CD51A7">
        <w:rPr>
          <w:rFonts w:ascii="Arial" w:hAnsi="Arial" w:cs="Arial"/>
          <w:b/>
          <w:sz w:val="20"/>
        </w:rPr>
        <w:t xml:space="preserve"> miesi</w:t>
      </w:r>
      <w:r w:rsidR="00763BDD">
        <w:rPr>
          <w:rFonts w:ascii="Arial" w:hAnsi="Arial" w:cs="Arial"/>
          <w:b/>
          <w:sz w:val="20"/>
        </w:rPr>
        <w:t>ęcy</w:t>
      </w:r>
      <w:r w:rsidR="00E71C57">
        <w:rPr>
          <w:rFonts w:ascii="Arial" w:hAnsi="Arial" w:cs="Arial"/>
          <w:b/>
          <w:sz w:val="20"/>
        </w:rPr>
        <w:t xml:space="preserve"> </w:t>
      </w:r>
      <w:r w:rsidR="0087158F">
        <w:rPr>
          <w:rFonts w:ascii="Arial" w:hAnsi="Arial" w:cs="Arial"/>
          <w:sz w:val="20"/>
        </w:rPr>
        <w:t>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lastRenderedPageBreak/>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3"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3"/>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3505A9D8" w:rsidR="0003628A" w:rsidRPr="0087158F"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co najmniej </w:t>
      </w:r>
      <w:r w:rsidR="00CD51A7">
        <w:rPr>
          <w:rFonts w:ascii="Arial" w:hAnsi="Arial" w:cs="Arial"/>
          <w:b/>
          <w:sz w:val="20"/>
          <w:szCs w:val="20"/>
        </w:rPr>
        <w:t>3</w:t>
      </w:r>
      <w:r w:rsidR="00E71C57" w:rsidRPr="009C3891">
        <w:rPr>
          <w:rFonts w:ascii="Arial" w:hAnsi="Arial" w:cs="Arial"/>
          <w:b/>
          <w:sz w:val="20"/>
          <w:szCs w:val="20"/>
        </w:rPr>
        <w:t>00</w:t>
      </w:r>
      <w:r w:rsidR="0087158F" w:rsidRPr="009C3891">
        <w:rPr>
          <w:rFonts w:ascii="Arial" w:hAnsi="Arial" w:cs="Arial"/>
          <w:b/>
          <w:sz w:val="20"/>
          <w:szCs w:val="20"/>
        </w:rPr>
        <w:t xml:space="preserve"> mb</w:t>
      </w:r>
      <w:r w:rsidR="0087158F" w:rsidRPr="0087158F">
        <w:rPr>
          <w:rFonts w:ascii="Arial" w:hAnsi="Arial" w:cs="Arial"/>
          <w:sz w:val="20"/>
          <w:szCs w:val="20"/>
        </w:rPr>
        <w:t xml:space="preserve"> </w:t>
      </w:r>
      <w:r w:rsidR="00E71C57">
        <w:rPr>
          <w:rFonts w:ascii="Arial" w:hAnsi="Arial" w:cs="Arial"/>
          <w:sz w:val="20"/>
          <w:szCs w:val="20"/>
        </w:rPr>
        <w:t xml:space="preserve">sieci </w:t>
      </w:r>
      <w:r w:rsidR="0087158F" w:rsidRPr="0087158F">
        <w:rPr>
          <w:rFonts w:ascii="Arial" w:hAnsi="Arial" w:cs="Arial"/>
          <w:sz w:val="20"/>
          <w:szCs w:val="20"/>
        </w:rPr>
        <w:t>kanalizacji sanitarnej.</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64497A8E" w14:textId="552C0F6F" w:rsidR="00E71C57" w:rsidRDefault="0087158F" w:rsidP="00E71C57">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-kan. oraz co najmniej 2-letnie doświadczenie w kierowaniu lub nadzorowaniu robót budowlanych na stanowisku Kierownika robót (licząc od daty uzyskania odpowiednich uprawnień) z zakresu budowy sieci wodociągowo-kanalizacyjnych</w:t>
      </w:r>
      <w:r w:rsidR="00E71C57">
        <w:rPr>
          <w:rFonts w:ascii="Arial" w:hAnsi="Arial" w:cs="Arial"/>
          <w:sz w:val="20"/>
          <w:szCs w:val="20"/>
        </w:rPr>
        <w:t>;</w:t>
      </w:r>
    </w:p>
    <w:p w14:paraId="2804A562" w14:textId="77777777" w:rsidR="00723877" w:rsidRDefault="00723877" w:rsidP="00E71C57">
      <w:pPr>
        <w:autoSpaceDE w:val="0"/>
        <w:autoSpaceDN w:val="0"/>
        <w:adjustRightInd w:val="0"/>
        <w:spacing w:line="360" w:lineRule="auto"/>
        <w:ind w:left="228" w:firstLine="57"/>
        <w:jc w:val="both"/>
        <w:rPr>
          <w:rFonts w:ascii="Arial" w:hAnsi="Arial" w:cs="Arial"/>
          <w:sz w:val="20"/>
          <w:szCs w:val="20"/>
        </w:rPr>
      </w:pPr>
    </w:p>
    <w:p w14:paraId="3D2D86F7" w14:textId="77777777" w:rsidR="00E71C57" w:rsidRPr="00847F2B" w:rsidRDefault="00E71C57" w:rsidP="00723877">
      <w:pPr>
        <w:autoSpaceDE w:val="0"/>
        <w:autoSpaceDN w:val="0"/>
        <w:adjustRightInd w:val="0"/>
        <w:spacing w:line="360" w:lineRule="auto"/>
        <w:jc w:val="both"/>
        <w:rPr>
          <w:rFonts w:ascii="Arial" w:hAnsi="Arial" w:cs="Arial"/>
          <w:sz w:val="20"/>
          <w:szCs w:val="20"/>
        </w:rPr>
      </w:pP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lastRenderedPageBreak/>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w:t>
      </w:r>
      <w:r w:rsidR="00BE17E8" w:rsidRPr="00847F2B">
        <w:rPr>
          <w:rFonts w:ascii="Arial" w:hAnsi="Arial" w:cs="Arial"/>
          <w:sz w:val="20"/>
        </w:rPr>
        <w:lastRenderedPageBreak/>
        <w:t xml:space="preserve">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6A0BE05D" w:rsidR="00810956" w:rsidRPr="00DB5D30" w:rsidRDefault="00171095" w:rsidP="00DB5D30">
      <w:pPr>
        <w:pStyle w:val="Nagwek31"/>
        <w:keepNext/>
        <w:keepLines/>
        <w:shd w:val="clear" w:color="auto" w:fill="auto"/>
        <w:spacing w:line="360" w:lineRule="auto"/>
        <w:ind w:left="852" w:right="20" w:hanging="426"/>
        <w:rPr>
          <w:rFonts w:ascii="Arial" w:hAnsi="Arial" w:cs="Arial"/>
          <w:sz w:val="20"/>
          <w:szCs w:val="20"/>
          <w:lang w:val="pl-PL"/>
        </w:rPr>
      </w:pPr>
      <w:r w:rsidRPr="00847F2B">
        <w:rPr>
          <w:rFonts w:ascii="Arial" w:hAnsi="Arial" w:cs="Arial"/>
          <w:b/>
          <w:bCs/>
          <w:sz w:val="20"/>
          <w:szCs w:val="20"/>
        </w:rPr>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w:t>
      </w:r>
      <w:r w:rsidR="00DB5D30" w:rsidRPr="009C3891">
        <w:rPr>
          <w:rFonts w:ascii="Arial" w:hAnsi="Arial" w:cs="Arial"/>
          <w:sz w:val="20"/>
          <w:szCs w:val="20"/>
        </w:rPr>
        <w:t xml:space="preserve">obejmujący co najmniej dwie roboty budowlane, z których każda polegała na budowie, co najmniej </w:t>
      </w:r>
      <w:r w:rsidR="002D3314">
        <w:rPr>
          <w:rFonts w:ascii="Arial" w:hAnsi="Arial" w:cs="Arial"/>
          <w:b/>
          <w:sz w:val="20"/>
          <w:szCs w:val="20"/>
        </w:rPr>
        <w:t>3</w:t>
      </w:r>
      <w:r w:rsidR="00DB5D30" w:rsidRPr="009C3891">
        <w:rPr>
          <w:rFonts w:ascii="Arial" w:hAnsi="Arial" w:cs="Arial"/>
          <w:b/>
          <w:sz w:val="20"/>
          <w:szCs w:val="20"/>
        </w:rPr>
        <w:t>00 mb</w:t>
      </w:r>
      <w:r w:rsidR="00DB5D30" w:rsidRPr="009C3891">
        <w:rPr>
          <w:rFonts w:ascii="Arial" w:hAnsi="Arial" w:cs="Arial"/>
          <w:sz w:val="20"/>
          <w:szCs w:val="20"/>
        </w:rPr>
        <w:t xml:space="preserve"> sieci kanalizacji sanitarnej</w:t>
      </w:r>
      <w:r w:rsidR="000F4F5C" w:rsidRPr="00847F2B">
        <w:rPr>
          <w:rFonts w:ascii="Arial" w:hAnsi="Arial" w:cs="Arial"/>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63E20AB2"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00DB5D30">
        <w:rPr>
          <w:rFonts w:ascii="Arial" w:hAnsi="Arial" w:cs="Arial"/>
          <w:sz w:val="20"/>
          <w:szCs w:val="20"/>
        </w:rPr>
        <w:t xml:space="preserve">w tym </w:t>
      </w:r>
      <w:r w:rsidR="00DB5D30" w:rsidRPr="009C3891">
        <w:rPr>
          <w:rFonts w:ascii="Arial" w:hAnsi="Arial" w:cs="Arial"/>
          <w:sz w:val="20"/>
          <w:szCs w:val="20"/>
        </w:rPr>
        <w:t xml:space="preserve">kierownikiem budowy </w:t>
      </w:r>
      <w:r w:rsidR="00934BE9" w:rsidRPr="009C3891">
        <w:rPr>
          <w:rFonts w:ascii="Arial" w:hAnsi="Arial" w:cs="Arial"/>
          <w:sz w:val="20"/>
          <w:szCs w:val="20"/>
        </w:rPr>
        <w:t xml:space="preserve"> i kierownikiem robót elektrycznych </w:t>
      </w:r>
      <w:r w:rsidR="00DB5D30" w:rsidRPr="009C3891">
        <w:rPr>
          <w:rFonts w:ascii="Arial" w:hAnsi="Arial" w:cs="Arial"/>
          <w:sz w:val="20"/>
          <w:szCs w:val="20"/>
        </w:rPr>
        <w:t>posiadającym</w:t>
      </w:r>
      <w:r w:rsidR="00934BE9" w:rsidRPr="009C3891">
        <w:rPr>
          <w:rFonts w:ascii="Arial" w:hAnsi="Arial" w:cs="Arial"/>
          <w:sz w:val="20"/>
          <w:szCs w:val="20"/>
        </w:rPr>
        <w:t>i</w:t>
      </w:r>
      <w:r w:rsidR="00DB5D30" w:rsidRPr="009C3891">
        <w:rPr>
          <w:rFonts w:ascii="Arial" w:hAnsi="Arial" w:cs="Arial"/>
          <w:sz w:val="20"/>
          <w:szCs w:val="20"/>
        </w:rPr>
        <w:t xml:space="preserve"> uprawnienia i</w:t>
      </w:r>
      <w:r w:rsidR="00934BE9" w:rsidRPr="009C3891">
        <w:rPr>
          <w:rFonts w:ascii="Arial" w:hAnsi="Arial" w:cs="Arial"/>
          <w:sz w:val="20"/>
          <w:szCs w:val="20"/>
        </w:rPr>
        <w:t> </w:t>
      </w:r>
      <w:r w:rsidR="00DB5D30" w:rsidRPr="009C3891">
        <w:rPr>
          <w:rFonts w:ascii="Arial" w:hAnsi="Arial" w:cs="Arial"/>
          <w:sz w:val="20"/>
          <w:szCs w:val="20"/>
        </w:rPr>
        <w:t>doświadczeni</w:t>
      </w:r>
      <w:r w:rsidR="00934BE9" w:rsidRPr="009C3891">
        <w:rPr>
          <w:rFonts w:ascii="Arial" w:hAnsi="Arial" w:cs="Arial"/>
          <w:sz w:val="20"/>
          <w:szCs w:val="20"/>
        </w:rPr>
        <w:t>e</w:t>
      </w:r>
      <w:r w:rsidR="00DB5D30" w:rsidRPr="009C3891">
        <w:rPr>
          <w:rFonts w:ascii="Arial" w:hAnsi="Arial" w:cs="Arial"/>
          <w:sz w:val="20"/>
          <w:szCs w:val="20"/>
        </w:rPr>
        <w:t xml:space="preserve"> zgodnie z wymaganiami rozdziału VIII ust.2  pkt 4) litera b) SWZ</w:t>
      </w:r>
      <w:r w:rsidR="00DB5D30">
        <w:rPr>
          <w:rFonts w:ascii="Arial" w:hAnsi="Arial" w:cs="Arial"/>
          <w:sz w:val="20"/>
          <w:szCs w:val="20"/>
        </w:rPr>
        <w:t xml:space="preserve">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7BC27034"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 xml:space="preserve">ust. </w:t>
      </w:r>
      <w:r w:rsidR="001524B3" w:rsidRPr="00723877">
        <w:rPr>
          <w:rFonts w:ascii="Arial" w:hAnsi="Arial" w:cs="Arial"/>
          <w:sz w:val="20"/>
        </w:rPr>
        <w:t>4</w:t>
      </w:r>
      <w:r w:rsidR="008C4E97" w:rsidRPr="00723877">
        <w:rPr>
          <w:rFonts w:ascii="Arial" w:hAnsi="Arial" w:cs="Arial"/>
          <w:sz w:val="20"/>
        </w:rPr>
        <w:t xml:space="preserve"> pkt </w:t>
      </w:r>
      <w:r w:rsidR="00032FCA" w:rsidRPr="00723877">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w:t>
      </w:r>
      <w:r w:rsidR="001524B3" w:rsidRPr="001524B3">
        <w:rPr>
          <w:rFonts w:ascii="Open Sans" w:hAnsi="Open Sans" w:cs="Open Sans"/>
          <w:color w:val="333333"/>
          <w:shd w:val="clear" w:color="auto" w:fill="FFFFFF"/>
        </w:rPr>
        <w:t xml:space="preserve"> </w:t>
      </w:r>
      <w:r w:rsidR="001524B3" w:rsidRPr="00723877">
        <w:rPr>
          <w:rFonts w:ascii="Arial" w:hAnsi="Arial" w:cs="Arial"/>
          <w:sz w:val="20"/>
          <w:shd w:val="clear" w:color="auto" w:fill="FFFFFF"/>
        </w:rPr>
        <w:t>lub miejsce zamieszkania ma osoba, której dotyczy informacja albo dokument</w:t>
      </w:r>
      <w:r w:rsidR="0070502E" w:rsidRPr="00723877">
        <w:rPr>
          <w:rFonts w:ascii="Arial" w:hAnsi="Arial" w:cs="Arial"/>
          <w:sz w:val="20"/>
        </w:rPr>
        <w:t>,</w:t>
      </w:r>
      <w:r w:rsidR="0070502E" w:rsidRPr="00847F2B">
        <w:rPr>
          <w:rFonts w:ascii="Arial" w:hAnsi="Arial" w:cs="Arial"/>
          <w:sz w:val="20"/>
        </w:rPr>
        <w:t xml:space="preserve">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 xml:space="preserve">oświadczenie Wykonawcy, ze wskazaniem osoby albo osób </w:t>
      </w:r>
      <w:r w:rsidR="0094542A" w:rsidRPr="00847F2B">
        <w:rPr>
          <w:rFonts w:ascii="Arial" w:hAnsi="Arial" w:cs="Arial"/>
          <w:sz w:val="20"/>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lastRenderedPageBreak/>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4"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4"/>
      <w:r w:rsidR="00D16134" w:rsidRPr="00847F2B">
        <w:rPr>
          <w:rFonts w:ascii="Arial" w:hAnsi="Arial" w:cs="Arial"/>
          <w:b/>
          <w:bCs/>
          <w:sz w:val="20"/>
          <w:szCs w:val="20"/>
        </w:rPr>
        <w:t>WYJAŚNIENIA TREŚCI SWZ</w:t>
      </w:r>
    </w:p>
    <w:p w14:paraId="5C75A2F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Andrzej </w:t>
      </w:r>
      <w:proofErr w:type="spellStart"/>
      <w:r w:rsidR="003F2BF3">
        <w:rPr>
          <w:rFonts w:ascii="Arial" w:hAnsi="Arial" w:cs="Arial"/>
          <w:color w:val="000000"/>
          <w:sz w:val="20"/>
          <w:szCs w:val="20"/>
        </w:rPr>
        <w:t>Pyliński</w:t>
      </w:r>
      <w:proofErr w:type="spellEnd"/>
      <w:r w:rsidRPr="00847F2B">
        <w:rPr>
          <w:rFonts w:ascii="Arial" w:hAnsi="Arial" w:cs="Arial"/>
          <w:color w:val="000000"/>
          <w:sz w:val="20"/>
          <w:szCs w:val="20"/>
        </w:rPr>
        <w:t xml:space="preserve"> tel.</w:t>
      </w:r>
      <w:r w:rsidR="003F2BF3">
        <w:rPr>
          <w:rFonts w:ascii="Arial" w:hAnsi="Arial" w:cs="Arial"/>
          <w:color w:val="000000"/>
          <w:sz w:val="20"/>
          <w:szCs w:val="20"/>
        </w:rPr>
        <w:t>795 470 622</w:t>
      </w:r>
      <w:r w:rsidRPr="00847F2B">
        <w:rPr>
          <w:rFonts w:ascii="Arial" w:hAnsi="Arial" w:cs="Arial"/>
          <w:color w:val="000000"/>
          <w:sz w:val="20"/>
          <w:szCs w:val="20"/>
        </w:rPr>
        <w:t xml:space="preserve">, e-mail: </w:t>
      </w:r>
      <w:hyperlink r:id="rId11" w:history="1">
        <w:r w:rsidR="003F2BF3" w:rsidRPr="009838FC">
          <w:rPr>
            <w:rStyle w:val="Hipercze"/>
            <w:rFonts w:ascii="Arial" w:hAnsi="Arial" w:cs="Arial"/>
            <w:sz w:val="20"/>
            <w:szCs w:val="20"/>
          </w:rPr>
          <w:t>ap@gpk.biz.pl</w:t>
        </w:r>
      </w:hyperlink>
      <w:r w:rsidRPr="00847F2B">
        <w:rPr>
          <w:rFonts w:ascii="Arial" w:hAnsi="Arial" w:cs="Arial"/>
          <w:color w:val="000000"/>
          <w:sz w:val="20"/>
          <w:szCs w:val="20"/>
        </w:rPr>
        <w:t xml:space="preserve">; w sprawach procedury Anna Grzanowska tel. 728 837 448, e-mail: </w:t>
      </w:r>
      <w:hyperlink r:id="rId12"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lastRenderedPageBreak/>
        <w:t xml:space="preserve">Za datę przekazania (wpływu) oświadczeń, wniosków, zawiadomień oraz informacji przyjmuje się datę ich przesłania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8"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9"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20"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1"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2"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lastRenderedPageBreak/>
        <w:t xml:space="preserve">Zamawiający informuje, że instrukcje korzystania z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4"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5"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5"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5"/>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75F2517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CB41B8">
        <w:rPr>
          <w:rFonts w:ascii="Arial" w:eastAsia="Times New Roman" w:hAnsi="Arial" w:cs="Arial"/>
          <w:b/>
          <w:sz w:val="20"/>
          <w:szCs w:val="20"/>
        </w:rPr>
        <w:t xml:space="preserve"> </w:t>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6"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7777777"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215D36" w:rsidRPr="00847F2B">
        <w:rPr>
          <w:rFonts w:ascii="Arial" w:eastAsia="Times New Roman" w:hAnsi="Arial" w:cs="Arial"/>
          <w:sz w:val="20"/>
        </w:rPr>
        <w:t xml:space="preserve"> </w:t>
      </w:r>
    </w:p>
    <w:p w14:paraId="54B4B88D" w14:textId="77777777" w:rsidR="0084300C" w:rsidRPr="00847F2B" w:rsidRDefault="00215D36" w:rsidP="0084300C">
      <w:pPr>
        <w:pStyle w:val="pkt"/>
        <w:spacing w:before="0" w:after="0" w:line="360" w:lineRule="auto"/>
        <w:ind w:left="426" w:hanging="426"/>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lastRenderedPageBreak/>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7F55F194"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tj. do dnia</w:t>
      </w:r>
      <w:r w:rsidR="00CB41B8">
        <w:rPr>
          <w:rFonts w:ascii="Arial" w:hAnsi="Arial" w:cs="Arial"/>
          <w:b/>
          <w:bCs/>
          <w:sz w:val="20"/>
        </w:rPr>
        <w:t xml:space="preserve"> </w:t>
      </w:r>
      <w:r w:rsidR="00763BDD">
        <w:rPr>
          <w:rFonts w:ascii="Arial" w:hAnsi="Arial" w:cs="Arial"/>
          <w:b/>
          <w:bCs/>
          <w:sz w:val="20"/>
        </w:rPr>
        <w:t>29</w:t>
      </w:r>
      <w:r w:rsidR="00FB6617">
        <w:rPr>
          <w:rFonts w:ascii="Arial" w:hAnsi="Arial" w:cs="Arial"/>
          <w:b/>
          <w:bCs/>
          <w:sz w:val="20"/>
        </w:rPr>
        <w:t>.11</w:t>
      </w:r>
      <w:r w:rsidR="00CA069F">
        <w:rPr>
          <w:rFonts w:ascii="Arial" w:hAnsi="Arial" w:cs="Arial"/>
          <w:b/>
          <w:bCs/>
          <w:sz w:val="20"/>
        </w:rPr>
        <w:t xml:space="preserve">.2024r. </w:t>
      </w:r>
      <w:r w:rsidR="00552FBA" w:rsidRPr="00847F2B">
        <w:rPr>
          <w:rFonts w:ascii="Arial" w:hAnsi="Arial" w:cs="Arial"/>
          <w:sz w:val="20"/>
        </w:rPr>
        <w:t>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5756AF88"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do dnia</w:t>
      </w:r>
      <w:r w:rsidR="00CB41B8">
        <w:rPr>
          <w:rFonts w:ascii="Arial" w:hAnsi="Arial" w:cs="Arial"/>
          <w:b/>
          <w:sz w:val="20"/>
        </w:rPr>
        <w:t xml:space="preserve"> </w:t>
      </w:r>
      <w:r w:rsidR="00763BDD">
        <w:rPr>
          <w:rFonts w:ascii="Arial" w:hAnsi="Arial" w:cs="Arial"/>
          <w:b/>
          <w:sz w:val="20"/>
        </w:rPr>
        <w:t>31</w:t>
      </w:r>
      <w:r w:rsidR="00CB41B8">
        <w:rPr>
          <w:rFonts w:ascii="Arial" w:hAnsi="Arial" w:cs="Arial"/>
          <w:b/>
          <w:sz w:val="20"/>
        </w:rPr>
        <w:t>.10</w:t>
      </w:r>
      <w:r w:rsidR="00CA069F">
        <w:rPr>
          <w:rFonts w:ascii="Arial" w:hAnsi="Arial" w:cs="Arial"/>
          <w:b/>
          <w:sz w:val="20"/>
        </w:rPr>
        <w:t>.</w:t>
      </w:r>
      <w:r w:rsidR="0067614A">
        <w:rPr>
          <w:rFonts w:ascii="Arial" w:hAnsi="Arial" w:cs="Arial"/>
          <w:b/>
          <w:sz w:val="20"/>
        </w:rPr>
        <w:t>202</w:t>
      </w:r>
      <w:r w:rsidR="00046CA6">
        <w:rPr>
          <w:rFonts w:ascii="Arial" w:hAnsi="Arial" w:cs="Arial"/>
          <w:b/>
          <w:sz w:val="20"/>
        </w:rPr>
        <w:t>4</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1BF5B4DF"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763BDD">
        <w:rPr>
          <w:rFonts w:ascii="Arial" w:hAnsi="Arial" w:cs="Arial"/>
          <w:b/>
          <w:bCs/>
          <w:sz w:val="20"/>
        </w:rPr>
        <w:t>31</w:t>
      </w:r>
      <w:r w:rsidR="00CB41B8">
        <w:rPr>
          <w:rFonts w:ascii="Arial" w:hAnsi="Arial" w:cs="Arial"/>
          <w:sz w:val="20"/>
        </w:rPr>
        <w:t>.</w:t>
      </w:r>
      <w:r w:rsidR="00CB41B8">
        <w:rPr>
          <w:rFonts w:ascii="Arial" w:hAnsi="Arial" w:cs="Arial"/>
          <w:b/>
          <w:bCs/>
          <w:sz w:val="20"/>
        </w:rPr>
        <w:t>10</w:t>
      </w:r>
      <w:r w:rsidR="00CA069F">
        <w:rPr>
          <w:rFonts w:ascii="Arial" w:hAnsi="Arial" w:cs="Arial"/>
          <w:b/>
          <w:bCs/>
          <w:sz w:val="20"/>
        </w:rPr>
        <w:t>.</w:t>
      </w:r>
      <w:r w:rsidR="0067614A">
        <w:rPr>
          <w:rFonts w:ascii="Arial" w:hAnsi="Arial" w:cs="Arial"/>
          <w:b/>
          <w:sz w:val="20"/>
        </w:rPr>
        <w:t>202</w:t>
      </w:r>
      <w:r w:rsidR="00046CA6">
        <w:rPr>
          <w:rFonts w:ascii="Arial" w:hAnsi="Arial" w:cs="Arial"/>
          <w:b/>
          <w:sz w:val="20"/>
        </w:rPr>
        <w:t>4</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lastRenderedPageBreak/>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77777777" w:rsidR="00E84975" w:rsidRPr="00847F2B"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B76F61" w:rsidRPr="00847F2B">
        <w:rPr>
          <w:rFonts w:ascii="Arial" w:hAnsi="Arial" w:cs="Arial"/>
          <w:sz w:val="20"/>
          <w:szCs w:val="20"/>
        </w:rPr>
        <w:t>100</w:t>
      </w:r>
      <w:r w:rsidR="00D36AE2" w:rsidRPr="00847F2B">
        <w:rPr>
          <w:rFonts w:ascii="Arial" w:hAnsi="Arial" w:cs="Arial"/>
          <w:sz w:val="20"/>
          <w:szCs w:val="20"/>
        </w:rPr>
        <w:t>%;</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7777777" w:rsidR="00A209DE" w:rsidRPr="00847F2B"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A209DE" w:rsidRPr="00847F2B">
        <w:rPr>
          <w:rFonts w:ascii="Arial" w:hAnsi="Arial" w:cs="Arial"/>
          <w:b/>
          <w:sz w:val="20"/>
          <w:szCs w:val="20"/>
        </w:rPr>
        <w:t xml:space="preserve">Cena (C) </w:t>
      </w: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t>cena najniższa brutto*</w:t>
      </w:r>
    </w:p>
    <w:p w14:paraId="19B92738" w14:textId="77777777"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100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 </w:t>
      </w: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77B423F3" w14:textId="1F54B3D3" w:rsidR="00E106B9" w:rsidRPr="00B61765" w:rsidRDefault="00171095" w:rsidP="00E106B9">
      <w:pPr>
        <w:pStyle w:val="Akapitzlist"/>
        <w:numPr>
          <w:ilvl w:val="3"/>
          <w:numId w:val="25"/>
        </w:numPr>
        <w:spacing w:before="240" w:line="360" w:lineRule="auto"/>
        <w:ind w:left="284" w:right="23" w:hanging="426"/>
        <w:jc w:val="both"/>
        <w:rPr>
          <w:rFonts w:ascii="Arial" w:hAnsi="Arial" w:cs="Arial"/>
          <w:sz w:val="20"/>
          <w:szCs w:val="20"/>
        </w:rPr>
      </w:pPr>
      <w:r w:rsidRPr="00847F2B">
        <w:rPr>
          <w:rFonts w:ascii="Arial" w:hAnsi="Arial" w:cs="Arial"/>
          <w:b/>
          <w:bCs/>
          <w:sz w:val="20"/>
        </w:rPr>
        <w:tab/>
      </w:r>
      <w:r w:rsidR="00E106B9" w:rsidRPr="00B61765">
        <w:rPr>
          <w:rFonts w:ascii="Arial" w:hAnsi="Arial" w:cs="Arial"/>
          <w:sz w:val="20"/>
          <w:szCs w:val="20"/>
        </w:rPr>
        <w:t xml:space="preserve">Zamawiający ogranicza liczbę wykonawców, z którymi będzie negocjował oferty do 3 (słownie: trzech) wykonawców. </w:t>
      </w:r>
    </w:p>
    <w:p w14:paraId="54D4133E" w14:textId="77777777" w:rsidR="00E106B9" w:rsidRPr="00B61765" w:rsidRDefault="00E106B9" w:rsidP="00E106B9">
      <w:pPr>
        <w:pStyle w:val="Akapitzlist"/>
        <w:numPr>
          <w:ilvl w:val="3"/>
          <w:numId w:val="25"/>
        </w:numPr>
        <w:spacing w:before="240" w:line="360" w:lineRule="auto"/>
        <w:ind w:left="284" w:right="23" w:hanging="426"/>
        <w:jc w:val="both"/>
        <w:rPr>
          <w:rFonts w:ascii="Arial" w:hAnsi="Arial" w:cs="Arial"/>
          <w:sz w:val="20"/>
          <w:szCs w:val="20"/>
        </w:rPr>
      </w:pPr>
      <w:r w:rsidRPr="00B61765">
        <w:rPr>
          <w:rFonts w:ascii="Arial" w:hAnsi="Arial" w:cs="Arial"/>
          <w:sz w:val="20"/>
          <w:szCs w:val="20"/>
        </w:rPr>
        <w:lastRenderedPageBreak/>
        <w:t>Zamawiający będzie negocjował z wykonawcami, którzy uzyskają najwyższą liczbę punktów w kryteriach oceny ofert.</w:t>
      </w:r>
    </w:p>
    <w:p w14:paraId="66F3218A"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Jeżeli liczba wykonawców, którzy w odpowiedzi na ogłoszenie o zamówieniu złożyli oferty niepodlegające odrzuceniu, będzie mniejsza niż 3, postępowanie może być kontynuowane, albo zostanie unieważnione .</w:t>
      </w:r>
    </w:p>
    <w:p w14:paraId="185A9A2E"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 xml:space="preserve">Jeżeli liczba ofert niepodlegających odrzuceniu nie będzie wyższa niż wskazana w pkt 1 Zamawiający zaprosi do negocjacji ofert wszystkich wykonawców. </w:t>
      </w:r>
    </w:p>
    <w:p w14:paraId="66D99187" w14:textId="42168520"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W przypadku podjęcia decyzji prowadzeniu negocjacji w pierwszym k</w:t>
      </w:r>
      <w:r>
        <w:rPr>
          <w:rFonts w:ascii="Arial" w:hAnsi="Arial" w:cs="Arial"/>
          <w:sz w:val="20"/>
          <w:szCs w:val="20"/>
        </w:rPr>
        <w:t>r</w:t>
      </w:r>
      <w:r w:rsidRPr="00B61765">
        <w:rPr>
          <w:rFonts w:ascii="Arial" w:hAnsi="Arial" w:cs="Arial"/>
          <w:sz w:val="20"/>
          <w:szCs w:val="20"/>
        </w:rPr>
        <w:t>oku zamawiający poinformuje równocześnie wszystkich wykonawców, którzy złożyli oferty o wykonawcach:</w:t>
      </w:r>
    </w:p>
    <w:p w14:paraId="43B0D86F"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1)</w:t>
      </w:r>
      <w:r w:rsidRPr="00B61765">
        <w:rPr>
          <w:rFonts w:ascii="Arial" w:hAnsi="Arial" w:cs="Arial"/>
          <w:sz w:val="20"/>
          <w:szCs w:val="20"/>
        </w:rPr>
        <w:tab/>
        <w:t>których oferty nie zostały odrzucone, oraz punktacji przyznanej ofertom w każdym kryterium oceny ofert i łącznej punktacji,</w:t>
      </w:r>
    </w:p>
    <w:p w14:paraId="726C05D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2)</w:t>
      </w:r>
      <w:r w:rsidRPr="00B61765">
        <w:rPr>
          <w:rFonts w:ascii="Arial" w:hAnsi="Arial" w:cs="Arial"/>
          <w:sz w:val="20"/>
          <w:szCs w:val="20"/>
        </w:rPr>
        <w:tab/>
        <w:t>których oferty zostały odrzucone,</w:t>
      </w:r>
      <w:r w:rsidRPr="00B61765">
        <w:rPr>
          <w:rFonts w:ascii="Arial" w:hAnsi="Arial" w:cs="Arial"/>
          <w:sz w:val="20"/>
          <w:szCs w:val="20"/>
        </w:rPr>
        <w:tab/>
      </w:r>
    </w:p>
    <w:p w14:paraId="3529226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w:t>
      </w:r>
      <w:r w:rsidRPr="00B61765">
        <w:rPr>
          <w:rFonts w:ascii="Arial" w:hAnsi="Arial" w:cs="Arial"/>
          <w:sz w:val="20"/>
          <w:szCs w:val="20"/>
        </w:rPr>
        <w:tab/>
        <w:t>podając uzasadnienie faktyczne i prawne.</w:t>
      </w:r>
    </w:p>
    <w:p w14:paraId="0619E233"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Zamawiający w zaproszeniu do negocjacji wskaże miejsce, termin i sposób prowadzenia negocjacji oraz kryteria oceny ofert w ramach, których będą prowadzone negocjacje w celu ulepszenia treści ofert</w:t>
      </w:r>
      <w:r w:rsidRPr="00B61765">
        <w:rPr>
          <w:rFonts w:ascii="Arial" w:hAnsi="Arial" w:cs="Arial"/>
        </w:rPr>
        <w:t>.</w:t>
      </w:r>
    </w:p>
    <w:p w14:paraId="2A078004"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6. </w:t>
      </w:r>
      <w:r w:rsidRPr="00B61765">
        <w:rPr>
          <w:rFonts w:ascii="Arial" w:hAnsi="Arial" w:cs="Arial"/>
          <w:bCs/>
          <w:sz w:val="20"/>
        </w:rPr>
        <w:tab/>
      </w:r>
      <w:r w:rsidRPr="00B61765">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CC6E9D9"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7. </w:t>
      </w:r>
      <w:r w:rsidRPr="00B61765">
        <w:rPr>
          <w:rFonts w:ascii="Arial" w:hAnsi="Arial" w:cs="Arial"/>
          <w:sz w:val="20"/>
        </w:rPr>
        <w:t>Po zakończeniu negocjacji z wszystkimi wykonawcami, zamawiający informuje o tym fakcie uczestników negocjacji oraz zaprasza ich do składania ofert dodatkowych.</w:t>
      </w:r>
    </w:p>
    <w:p w14:paraId="76062636"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8</w:t>
      </w:r>
      <w:r w:rsidRPr="00B61765">
        <w:rPr>
          <w:rFonts w:ascii="Arial" w:hAnsi="Arial" w:cs="Arial"/>
          <w:b/>
          <w:bCs/>
          <w:sz w:val="20"/>
        </w:rPr>
        <w:t>.</w:t>
      </w:r>
      <w:r w:rsidRPr="00B61765">
        <w:rPr>
          <w:rFonts w:ascii="Arial" w:hAnsi="Arial" w:cs="Arial"/>
          <w:b/>
          <w:bCs/>
          <w:sz w:val="20"/>
        </w:rPr>
        <w:tab/>
        <w:t xml:space="preserve"> </w:t>
      </w:r>
      <w:r w:rsidRPr="00B61765">
        <w:rPr>
          <w:rFonts w:ascii="Arial" w:hAnsi="Arial" w:cs="Arial"/>
          <w:sz w:val="20"/>
        </w:rPr>
        <w:t>Zaproszenie do złożenia ofert dodatkowych będzie zawierać co najmniej:</w:t>
      </w:r>
    </w:p>
    <w:p w14:paraId="64F4D38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1)</w:t>
      </w:r>
      <w:r w:rsidRPr="00B61765">
        <w:rPr>
          <w:rFonts w:ascii="Arial" w:eastAsia="Times New Roman" w:hAnsi="Arial" w:cs="Arial"/>
          <w:b/>
          <w:sz w:val="20"/>
          <w:szCs w:val="20"/>
        </w:rPr>
        <w:tab/>
      </w:r>
      <w:r w:rsidRPr="00B61765">
        <w:rPr>
          <w:rFonts w:ascii="Arial" w:hAnsi="Arial" w:cs="Arial"/>
          <w:sz w:val="20"/>
          <w:szCs w:val="20"/>
        </w:rPr>
        <w:t>nazwę oraz adres zamawiającego, numer telefonu, adres poczty elektronicznej oraz strony internetowej prowadzonego postępowania;</w:t>
      </w:r>
    </w:p>
    <w:p w14:paraId="1F641A9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2)</w:t>
      </w:r>
      <w:r w:rsidRPr="00B61765">
        <w:rPr>
          <w:rFonts w:ascii="Arial" w:eastAsia="Times New Roman" w:hAnsi="Arial" w:cs="Arial"/>
          <w:b/>
          <w:sz w:val="20"/>
          <w:szCs w:val="20"/>
        </w:rPr>
        <w:tab/>
      </w:r>
      <w:r w:rsidRPr="00B61765">
        <w:rPr>
          <w:rFonts w:ascii="Arial" w:hAnsi="Arial" w:cs="Arial"/>
          <w:sz w:val="20"/>
          <w:szCs w:val="20"/>
        </w:rPr>
        <w:t>sposób i termin składania ofert dodatkowych oraz język lub języki, w jakich muszą one być sporządzone, oraz termin otwarcia tych ofert.</w:t>
      </w:r>
    </w:p>
    <w:p w14:paraId="5E5CFB4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9.</w:t>
      </w:r>
      <w:r w:rsidRPr="00B61765">
        <w:rPr>
          <w:rFonts w:ascii="Arial" w:hAnsi="Arial" w:cs="Arial"/>
          <w:bCs/>
          <w:sz w:val="20"/>
        </w:rPr>
        <w:tab/>
      </w:r>
      <w:r w:rsidRPr="00B61765">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3021C11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10. </w:t>
      </w:r>
      <w:r w:rsidRPr="00B61765">
        <w:rPr>
          <w:rFonts w:ascii="Arial" w:hAnsi="Arial" w:cs="Arial"/>
          <w:b/>
          <w:bCs/>
          <w:sz w:val="20"/>
        </w:rPr>
        <w:tab/>
      </w:r>
      <w:r w:rsidRPr="00B61765">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19FA7750"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11. Oferta przestaje wiązać wykonawcę w zakresie, w jakim złoży on ofertę dodatkową zawierającą korzystniejsze propozycje w ramach każdego z kryteriów oceny ofert wskazanych w zaproszeniu do negocjacji. </w:t>
      </w:r>
    </w:p>
    <w:p w14:paraId="38C0029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12. 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10A88E57"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Zamawiający </w:t>
      </w:r>
      <w:r w:rsidRPr="004A7658">
        <w:rPr>
          <w:rFonts w:ascii="Arial" w:hAnsi="Arial" w:cs="Arial"/>
          <w:b/>
          <w:sz w:val="20"/>
          <w:szCs w:val="20"/>
        </w:rPr>
        <w:t>wymaga</w:t>
      </w:r>
      <w:r w:rsidRPr="004A7658">
        <w:rPr>
          <w:rFonts w:ascii="Arial" w:hAnsi="Arial" w:cs="Arial"/>
          <w:sz w:val="20"/>
          <w:szCs w:val="20"/>
        </w:rPr>
        <w:t xml:space="preserve"> wniesienia zabezpieczenia należytego wykonania umowy w wysokości 5% ceny ofertowej brutto.</w:t>
      </w:r>
    </w:p>
    <w:p w14:paraId="2D6969A3"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Zabezpieczenie należytego wykonania umowy na zasadach określonych w przepisach </w:t>
      </w:r>
      <w:r w:rsidRPr="004A7658">
        <w:rPr>
          <w:rFonts w:ascii="Arial" w:eastAsia="Times New Roman" w:hAnsi="Arial" w:cs="Arial"/>
          <w:sz w:val="20"/>
          <w:szCs w:val="20"/>
        </w:rPr>
        <w:t>wnosi się w  jednej lub w kilku następujących formach:</w:t>
      </w:r>
    </w:p>
    <w:p w14:paraId="40065760"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pieniądzu;</w:t>
      </w:r>
    </w:p>
    <w:p w14:paraId="4E52CA73"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592D900B"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3) gwarancjach bankowych;</w:t>
      </w:r>
    </w:p>
    <w:p w14:paraId="43FBCFE9"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4) gwarancjach ubezpieczeniowych;</w:t>
      </w:r>
    </w:p>
    <w:p w14:paraId="2E63F649"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4BEC23CA" w14:textId="77777777" w:rsidR="00493348" w:rsidRPr="004A765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2. Za zgodą Zamawiającego zabezpieczenie może być wnoszone również:</w:t>
      </w:r>
    </w:p>
    <w:p w14:paraId="3D25CAFC"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w wekslach z poręczeniem wekslowym banku lub spółdzielczej kasy oszczędnościowo-kredytowej;</w:t>
      </w:r>
    </w:p>
    <w:p w14:paraId="6DE8EDC6"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przez ustanowienie zastawu na papierach wartościowych emitowanych przez Skarb Państwa lub jednostkę samorządu terytorialnego;</w:t>
      </w:r>
    </w:p>
    <w:p w14:paraId="1BF6C908"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3) przez ustanowienie zastawu rejestrowego na zasadach określonych w ustawie z dnia 6grudnia 1996r. o zastawie rejestrowym i rejestrze zastawów.</w:t>
      </w:r>
    </w:p>
    <w:p w14:paraId="658AF45F"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3. </w:t>
      </w:r>
      <w:r w:rsidRPr="004A7658">
        <w:rPr>
          <w:rFonts w:ascii="Arial" w:eastAsia="Times New Roman" w:hAnsi="Arial" w:cs="Arial"/>
          <w:sz w:val="20"/>
          <w:szCs w:val="20"/>
        </w:rPr>
        <w:tab/>
        <w:t>Zabezpieczenie wnoszone w pieniądzu wykonawca wpłaca przelewem na rachunek bankowy wskazany przez Zamawiającego.</w:t>
      </w:r>
    </w:p>
    <w:p w14:paraId="1ECDD0C2"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4. </w:t>
      </w:r>
      <w:r w:rsidRPr="004A7658">
        <w:rPr>
          <w:rFonts w:ascii="Arial" w:eastAsia="Times New Roman" w:hAnsi="Arial" w:cs="Arial"/>
          <w:sz w:val="20"/>
          <w:szCs w:val="20"/>
        </w:rPr>
        <w:tab/>
        <w:t>W przypadku wniesienia wadium w pieniądzu Wykonawca może wyrazić zgodę na zaliczenie kwoty wadium na poczet zabezpieczenia.</w:t>
      </w:r>
    </w:p>
    <w:p w14:paraId="58CE59B3"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lastRenderedPageBreak/>
        <w:t xml:space="preserve">5. </w:t>
      </w:r>
      <w:r w:rsidRPr="004A7658">
        <w:rPr>
          <w:rFonts w:ascii="Arial" w:eastAsia="Times New Roman"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F53FCD8"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6.   W trakcie realizacji umowy wykonawca może dokonać zmiany formy zabezpieczenia na jedną lub kilka form, o których mowa w art. 450 ust. 1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w:t>
      </w:r>
    </w:p>
    <w:p w14:paraId="5417DBFC" w14:textId="77777777" w:rsidR="00493348" w:rsidRPr="004A7658" w:rsidRDefault="00493348" w:rsidP="00493348">
      <w:pPr>
        <w:spacing w:line="360" w:lineRule="auto"/>
        <w:ind w:left="142" w:hanging="142"/>
        <w:jc w:val="both"/>
        <w:rPr>
          <w:rFonts w:ascii="Arial" w:eastAsia="Times New Roman" w:hAnsi="Arial" w:cs="Arial"/>
          <w:sz w:val="20"/>
          <w:szCs w:val="20"/>
        </w:rPr>
      </w:pPr>
      <w:r w:rsidRPr="004A7658">
        <w:rPr>
          <w:rFonts w:ascii="Arial" w:eastAsia="Times New Roman" w:hAnsi="Arial" w:cs="Arial"/>
          <w:sz w:val="20"/>
          <w:szCs w:val="20"/>
        </w:rPr>
        <w:t xml:space="preserve">7. Za zgodą Zamawiającego Wykonawca może dokonać zmiany formy zabezpieczenia na jedną lub kilka form, o których mowa w art. 450 ust. 2.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 xml:space="preserve"> </w:t>
      </w:r>
    </w:p>
    <w:p w14:paraId="05467890" w14:textId="44B35896" w:rsidR="0016416A" w:rsidRPr="0049334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42466AED" w14:textId="77777777" w:rsidR="00760056" w:rsidRDefault="00760056" w:rsidP="00171095">
            <w:pPr>
              <w:suppressAutoHyphens/>
              <w:spacing w:line="360" w:lineRule="auto"/>
              <w:rPr>
                <w:rFonts w:ascii="Arial" w:hAnsi="Arial" w:cs="Arial"/>
              </w:rPr>
            </w:pPr>
            <w:r w:rsidRPr="00847F2B">
              <w:rPr>
                <w:rFonts w:ascii="Arial" w:hAnsi="Arial" w:cs="Arial"/>
              </w:rPr>
              <w:t>Opis Przedmiotu Zamówienia (OPZ</w:t>
            </w:r>
          </w:p>
          <w:p w14:paraId="7069EC94" w14:textId="0E65D3E0" w:rsidR="00FB6617" w:rsidRPr="00847F2B" w:rsidRDefault="00FB6617" w:rsidP="00171095">
            <w:pPr>
              <w:suppressAutoHyphens/>
              <w:spacing w:line="360" w:lineRule="auto"/>
              <w:rPr>
                <w:rFonts w:ascii="Arial" w:hAnsi="Arial" w:cs="Arial"/>
              </w:rPr>
            </w:pPr>
          </w:p>
        </w:tc>
      </w:tr>
    </w:tbl>
    <w:p w14:paraId="61684810" w14:textId="44A3114B" w:rsidR="00FD2CCD" w:rsidRPr="00FB6617" w:rsidRDefault="00FD2CCD" w:rsidP="00FB6617">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r w:rsidR="00FB6617">
        <w:rPr>
          <w:rFonts w:ascii="Arial" w:hAnsi="Arial" w:cs="Arial"/>
          <w:b/>
          <w:sz w:val="20"/>
          <w:szCs w:val="20"/>
        </w:rPr>
        <w:t xml:space="preserve"> </w:t>
      </w:r>
      <w:r w:rsidR="00171095" w:rsidRPr="00847F2B">
        <w:rPr>
          <w:rFonts w:ascii="Arial" w:hAnsi="Arial" w:cs="Arial"/>
          <w:sz w:val="20"/>
          <w:szCs w:val="20"/>
        </w:rPr>
        <w:t>....</w:t>
      </w:r>
      <w:r w:rsidR="008C69C2" w:rsidRPr="00847F2B">
        <w:rPr>
          <w:rFonts w:ascii="Arial" w:hAnsi="Arial" w:cs="Arial"/>
          <w:sz w:val="20"/>
          <w:szCs w:val="20"/>
        </w:rPr>
        <w:t>.........</w:t>
      </w:r>
      <w:r w:rsidR="00171095" w:rsidRPr="00847F2B">
        <w:rPr>
          <w:rFonts w:ascii="Arial" w:hAnsi="Arial" w:cs="Arial"/>
          <w:sz w:val="20"/>
          <w:szCs w:val="20"/>
        </w:rPr>
        <w:t>................................</w:t>
      </w:r>
      <w:r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9564" w14:textId="77777777" w:rsidR="004B720C" w:rsidRDefault="004B720C">
      <w:r>
        <w:separator/>
      </w:r>
    </w:p>
  </w:endnote>
  <w:endnote w:type="continuationSeparator" w:id="0">
    <w:p w14:paraId="38660F04" w14:textId="77777777" w:rsidR="004B720C" w:rsidRDefault="004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EC37C" w14:textId="77777777" w:rsidR="004B720C" w:rsidRDefault="004B720C">
      <w:r>
        <w:separator/>
      </w:r>
    </w:p>
  </w:footnote>
  <w:footnote w:type="continuationSeparator" w:id="0">
    <w:p w14:paraId="4BB41919" w14:textId="77777777" w:rsidR="004B720C" w:rsidRDefault="004B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21"/>
  </w:num>
  <w:num w:numId="11" w16cid:durableId="239289456">
    <w:abstractNumId w:val="14"/>
  </w:num>
  <w:num w:numId="12" w16cid:durableId="463499796">
    <w:abstractNumId w:val="20"/>
  </w:num>
  <w:num w:numId="13" w16cid:durableId="1535993667">
    <w:abstractNumId w:val="17"/>
  </w:num>
  <w:num w:numId="14" w16cid:durableId="32536120">
    <w:abstractNumId w:val="16"/>
    <w:lvlOverride w:ilvl="0">
      <w:startOverride w:val="1"/>
    </w:lvlOverride>
  </w:num>
  <w:num w:numId="15" w16cid:durableId="1433279156">
    <w:abstractNumId w:val="13"/>
    <w:lvlOverride w:ilvl="0">
      <w:startOverride w:val="1"/>
    </w:lvlOverride>
  </w:num>
  <w:num w:numId="16" w16cid:durableId="650597274">
    <w:abstractNumId w:val="12"/>
  </w:num>
  <w:num w:numId="17" w16cid:durableId="2103455935">
    <w:abstractNumId w:val="24"/>
  </w:num>
  <w:num w:numId="18" w16cid:durableId="211844039">
    <w:abstractNumId w:val="10"/>
  </w:num>
  <w:num w:numId="19" w16cid:durableId="993873357">
    <w:abstractNumId w:val="11"/>
  </w:num>
  <w:num w:numId="20" w16cid:durableId="537665666">
    <w:abstractNumId w:val="22"/>
  </w:num>
  <w:num w:numId="21" w16cid:durableId="633145589">
    <w:abstractNumId w:val="19"/>
  </w:num>
  <w:num w:numId="22" w16cid:durableId="788552683">
    <w:abstractNumId w:val="9"/>
  </w:num>
  <w:num w:numId="23" w16cid:durableId="76829261">
    <w:abstractNumId w:val="3"/>
    <w:lvlOverride w:ilvl="0">
      <w:startOverride w:val="1"/>
    </w:lvlOverride>
  </w:num>
  <w:num w:numId="24" w16cid:durableId="980307928">
    <w:abstractNumId w:val="23"/>
  </w:num>
  <w:num w:numId="25" w16cid:durableId="2113671616">
    <w:abstractNumId w:val="18"/>
  </w:num>
  <w:num w:numId="26" w16cid:durableId="155264479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CA6"/>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4CDD"/>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0702C"/>
    <w:rsid w:val="00107072"/>
    <w:rsid w:val="001127D3"/>
    <w:rsid w:val="00115F5C"/>
    <w:rsid w:val="00115F80"/>
    <w:rsid w:val="0011769F"/>
    <w:rsid w:val="001177F0"/>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4B3"/>
    <w:rsid w:val="00152B93"/>
    <w:rsid w:val="00153325"/>
    <w:rsid w:val="001555D4"/>
    <w:rsid w:val="001560B9"/>
    <w:rsid w:val="001569AA"/>
    <w:rsid w:val="00157D14"/>
    <w:rsid w:val="0016235D"/>
    <w:rsid w:val="00163A9B"/>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8658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31CC"/>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3B4D"/>
    <w:rsid w:val="0024411C"/>
    <w:rsid w:val="0024596B"/>
    <w:rsid w:val="00245A99"/>
    <w:rsid w:val="00246039"/>
    <w:rsid w:val="00246692"/>
    <w:rsid w:val="00246C40"/>
    <w:rsid w:val="00247349"/>
    <w:rsid w:val="002477EC"/>
    <w:rsid w:val="002514F3"/>
    <w:rsid w:val="00251BA5"/>
    <w:rsid w:val="002535F8"/>
    <w:rsid w:val="0025493A"/>
    <w:rsid w:val="00255489"/>
    <w:rsid w:val="00255CB2"/>
    <w:rsid w:val="00257D98"/>
    <w:rsid w:val="002624D9"/>
    <w:rsid w:val="002636C4"/>
    <w:rsid w:val="00263AF9"/>
    <w:rsid w:val="0026735F"/>
    <w:rsid w:val="00270106"/>
    <w:rsid w:val="0027260C"/>
    <w:rsid w:val="00273440"/>
    <w:rsid w:val="00276478"/>
    <w:rsid w:val="00276E9A"/>
    <w:rsid w:val="0028068E"/>
    <w:rsid w:val="002806B6"/>
    <w:rsid w:val="00280AFD"/>
    <w:rsid w:val="00283291"/>
    <w:rsid w:val="002839A3"/>
    <w:rsid w:val="00283E89"/>
    <w:rsid w:val="002843BA"/>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894"/>
    <w:rsid w:val="002B591B"/>
    <w:rsid w:val="002B74F7"/>
    <w:rsid w:val="002B7506"/>
    <w:rsid w:val="002B75C2"/>
    <w:rsid w:val="002C1EB4"/>
    <w:rsid w:val="002C24F2"/>
    <w:rsid w:val="002C2D7E"/>
    <w:rsid w:val="002C2E10"/>
    <w:rsid w:val="002C5516"/>
    <w:rsid w:val="002C5AE1"/>
    <w:rsid w:val="002C6F05"/>
    <w:rsid w:val="002D0FB7"/>
    <w:rsid w:val="002D106D"/>
    <w:rsid w:val="002D145B"/>
    <w:rsid w:val="002D3314"/>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8E6"/>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3348"/>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3D6"/>
    <w:rsid w:val="004B46C8"/>
    <w:rsid w:val="004B5373"/>
    <w:rsid w:val="004B5982"/>
    <w:rsid w:val="004B5D34"/>
    <w:rsid w:val="004B5E33"/>
    <w:rsid w:val="004B720C"/>
    <w:rsid w:val="004B7762"/>
    <w:rsid w:val="004B79C1"/>
    <w:rsid w:val="004C0E65"/>
    <w:rsid w:val="004C1E72"/>
    <w:rsid w:val="004C2EEB"/>
    <w:rsid w:val="004C33E9"/>
    <w:rsid w:val="004C39ED"/>
    <w:rsid w:val="004C5FBE"/>
    <w:rsid w:val="004C6228"/>
    <w:rsid w:val="004C6EDC"/>
    <w:rsid w:val="004D03E8"/>
    <w:rsid w:val="004D179C"/>
    <w:rsid w:val="004D1E27"/>
    <w:rsid w:val="004D3E8E"/>
    <w:rsid w:val="004D42B2"/>
    <w:rsid w:val="004D6053"/>
    <w:rsid w:val="004D6190"/>
    <w:rsid w:val="004D7E91"/>
    <w:rsid w:val="004E1305"/>
    <w:rsid w:val="004E20FE"/>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8D7"/>
    <w:rsid w:val="00570081"/>
    <w:rsid w:val="00570559"/>
    <w:rsid w:val="00570717"/>
    <w:rsid w:val="0057299D"/>
    <w:rsid w:val="005730B4"/>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4C27"/>
    <w:rsid w:val="005C51E8"/>
    <w:rsid w:val="005C5ED8"/>
    <w:rsid w:val="005C6758"/>
    <w:rsid w:val="005C6C06"/>
    <w:rsid w:val="005D14B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A7E"/>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AC9"/>
    <w:rsid w:val="00665FD1"/>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A09"/>
    <w:rsid w:val="006A7D52"/>
    <w:rsid w:val="006B0D48"/>
    <w:rsid w:val="006B20F3"/>
    <w:rsid w:val="006B26D4"/>
    <w:rsid w:val="006B2954"/>
    <w:rsid w:val="006B2A47"/>
    <w:rsid w:val="006B6664"/>
    <w:rsid w:val="006B7FD5"/>
    <w:rsid w:val="006C057C"/>
    <w:rsid w:val="006C1AA3"/>
    <w:rsid w:val="006C2470"/>
    <w:rsid w:val="006C35E3"/>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6A88"/>
    <w:rsid w:val="00717649"/>
    <w:rsid w:val="0072113D"/>
    <w:rsid w:val="00722314"/>
    <w:rsid w:val="007225D0"/>
    <w:rsid w:val="00723877"/>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3BDD"/>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3F"/>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4D6A"/>
    <w:rsid w:val="00835260"/>
    <w:rsid w:val="00836909"/>
    <w:rsid w:val="008376F5"/>
    <w:rsid w:val="00841485"/>
    <w:rsid w:val="0084300C"/>
    <w:rsid w:val="00845322"/>
    <w:rsid w:val="00846775"/>
    <w:rsid w:val="00846F60"/>
    <w:rsid w:val="00847898"/>
    <w:rsid w:val="00847F2B"/>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4BE9"/>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155"/>
    <w:rsid w:val="009667BB"/>
    <w:rsid w:val="0097023C"/>
    <w:rsid w:val="0097047C"/>
    <w:rsid w:val="0097185B"/>
    <w:rsid w:val="00971C34"/>
    <w:rsid w:val="00972413"/>
    <w:rsid w:val="00972CA2"/>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6"/>
    <w:rsid w:val="009B2BE1"/>
    <w:rsid w:val="009B31B1"/>
    <w:rsid w:val="009B48E2"/>
    <w:rsid w:val="009B5DCB"/>
    <w:rsid w:val="009B6F33"/>
    <w:rsid w:val="009B7B93"/>
    <w:rsid w:val="009C0E0C"/>
    <w:rsid w:val="009C163D"/>
    <w:rsid w:val="009C3891"/>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0940"/>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082"/>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437"/>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FF1"/>
    <w:rsid w:val="00C07A5E"/>
    <w:rsid w:val="00C12184"/>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0C31"/>
    <w:rsid w:val="00C92765"/>
    <w:rsid w:val="00C92942"/>
    <w:rsid w:val="00C92CEB"/>
    <w:rsid w:val="00C93497"/>
    <w:rsid w:val="00C95BE3"/>
    <w:rsid w:val="00C972A5"/>
    <w:rsid w:val="00C97B43"/>
    <w:rsid w:val="00C97D8D"/>
    <w:rsid w:val="00CA0556"/>
    <w:rsid w:val="00CA069F"/>
    <w:rsid w:val="00CA06FA"/>
    <w:rsid w:val="00CA2795"/>
    <w:rsid w:val="00CA30AD"/>
    <w:rsid w:val="00CA4289"/>
    <w:rsid w:val="00CA5EC6"/>
    <w:rsid w:val="00CA5F98"/>
    <w:rsid w:val="00CA6B11"/>
    <w:rsid w:val="00CB06F2"/>
    <w:rsid w:val="00CB250E"/>
    <w:rsid w:val="00CB28E0"/>
    <w:rsid w:val="00CB2A26"/>
    <w:rsid w:val="00CB2C57"/>
    <w:rsid w:val="00CB41B8"/>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D51A7"/>
    <w:rsid w:val="00CE1871"/>
    <w:rsid w:val="00CE22F4"/>
    <w:rsid w:val="00CE245E"/>
    <w:rsid w:val="00CE39DF"/>
    <w:rsid w:val="00CE44C8"/>
    <w:rsid w:val="00CE4A05"/>
    <w:rsid w:val="00CE7B02"/>
    <w:rsid w:val="00CF0BA5"/>
    <w:rsid w:val="00CF1026"/>
    <w:rsid w:val="00CF13B1"/>
    <w:rsid w:val="00CF2213"/>
    <w:rsid w:val="00CF3309"/>
    <w:rsid w:val="00CF547A"/>
    <w:rsid w:val="00CF5CF7"/>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7E7"/>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4B90"/>
    <w:rsid w:val="00DB5669"/>
    <w:rsid w:val="00DB5D30"/>
    <w:rsid w:val="00DB7757"/>
    <w:rsid w:val="00DB77E8"/>
    <w:rsid w:val="00DB7FB0"/>
    <w:rsid w:val="00DC0262"/>
    <w:rsid w:val="00DC047F"/>
    <w:rsid w:val="00DC0AD1"/>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06B9"/>
    <w:rsid w:val="00E10AC1"/>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C57"/>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0A3"/>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5510"/>
    <w:rsid w:val="00F95F3C"/>
    <w:rsid w:val="00F96229"/>
    <w:rsid w:val="00FA2E83"/>
    <w:rsid w:val="00FA3063"/>
    <w:rsid w:val="00FA3840"/>
    <w:rsid w:val="00FA45F8"/>
    <w:rsid w:val="00FA4AE8"/>
    <w:rsid w:val="00FA4CE0"/>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617"/>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702C"/>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ag@gpk.biz.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gpk.biz.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od@grodzisk.wlkp.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17</Pages>
  <Words>5552</Words>
  <Characters>37085</Characters>
  <Application>Microsoft Office Word</Application>
  <DocSecurity>0</DocSecurity>
  <Lines>309</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23</cp:revision>
  <cp:lastPrinted>2024-09-23T09:49:00Z</cp:lastPrinted>
  <dcterms:created xsi:type="dcterms:W3CDTF">2023-05-30T12:10:00Z</dcterms:created>
  <dcterms:modified xsi:type="dcterms:W3CDTF">2024-10-15T11:56:00Z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