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25774" w14:textId="77777777" w:rsidR="005737E7" w:rsidRPr="00701FAC" w:rsidRDefault="005737E7" w:rsidP="005737E7">
      <w:pPr>
        <w:spacing w:after="74" w:line="259" w:lineRule="auto"/>
        <w:ind w:left="10" w:right="1"/>
        <w:jc w:val="center"/>
        <w:rPr>
          <w:rFonts w:ascii="Arial" w:hAnsi="Arial" w:cs="Arial"/>
          <w:color w:val="auto"/>
          <w:sz w:val="22"/>
        </w:rPr>
      </w:pPr>
      <w:r w:rsidRPr="00701FAC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4CE1C5BF" w14:textId="77777777" w:rsidR="005737E7" w:rsidRPr="00701FAC" w:rsidRDefault="005737E7" w:rsidP="005737E7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  <w:sz w:val="22"/>
        </w:rPr>
      </w:pPr>
      <w:r w:rsidRPr="00701FAC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0C6C0A9B" w14:textId="77777777" w:rsidR="005737E7" w:rsidRPr="00701FAC" w:rsidRDefault="005737E7" w:rsidP="005737E7">
      <w:pPr>
        <w:spacing w:after="0" w:line="259" w:lineRule="auto"/>
        <w:ind w:left="768" w:right="64" w:firstLine="0"/>
        <w:jc w:val="left"/>
        <w:rPr>
          <w:rFonts w:ascii="Arial" w:hAnsi="Arial" w:cs="Arial"/>
          <w:color w:val="auto"/>
          <w:sz w:val="22"/>
        </w:rPr>
      </w:pPr>
      <w:r w:rsidRPr="00701FAC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27DF8419" w14:textId="77777777" w:rsidR="005737E7" w:rsidRPr="00701FAC" w:rsidRDefault="005737E7" w:rsidP="005737E7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44DB77DE" w14:textId="5C218CAE" w:rsidR="005737E7" w:rsidRPr="00701FAC" w:rsidRDefault="005737E7" w:rsidP="004E1786">
      <w:pPr>
        <w:spacing w:after="0" w:line="240" w:lineRule="auto"/>
        <w:ind w:left="3842" w:right="3844" w:hanging="302"/>
        <w:rPr>
          <w:rFonts w:ascii="Arial" w:eastAsia="Century Gothic" w:hAnsi="Arial" w:cs="Arial"/>
          <w:b/>
          <w:color w:val="auto"/>
          <w:sz w:val="47"/>
        </w:rPr>
      </w:pPr>
      <w:r w:rsidRPr="00701FAC">
        <w:rPr>
          <w:rFonts w:ascii="Arial" w:eastAsia="Century Gothic" w:hAnsi="Arial" w:cs="Arial"/>
          <w:b/>
          <w:color w:val="auto"/>
          <w:sz w:val="47"/>
        </w:rPr>
        <w:t>SST 1</w:t>
      </w:r>
      <w:r w:rsidR="004E1786" w:rsidRPr="00701FAC">
        <w:rPr>
          <w:rFonts w:ascii="Arial" w:eastAsia="Century Gothic" w:hAnsi="Arial" w:cs="Arial"/>
          <w:b/>
          <w:color w:val="auto"/>
          <w:sz w:val="47"/>
        </w:rPr>
        <w:t>2</w:t>
      </w:r>
      <w:r w:rsidRPr="00701FAC">
        <w:rPr>
          <w:rFonts w:ascii="Arial" w:eastAsia="Century Gothic" w:hAnsi="Arial" w:cs="Arial"/>
          <w:b/>
          <w:color w:val="auto"/>
          <w:sz w:val="47"/>
        </w:rPr>
        <w:t>.0</w:t>
      </w:r>
    </w:p>
    <w:p w14:paraId="32924FBF" w14:textId="77777777" w:rsidR="005737E7" w:rsidRPr="00701FAC" w:rsidRDefault="005737E7" w:rsidP="005737E7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320A32E5" w14:textId="77777777" w:rsidR="005737E7" w:rsidRPr="00701FAC" w:rsidRDefault="005737E7" w:rsidP="005737E7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4C4F533B" w14:textId="77777777" w:rsidR="005737E7" w:rsidRPr="00701FAC" w:rsidRDefault="005737E7" w:rsidP="005737E7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1A38E8AF" w14:textId="0E81061F" w:rsidR="005737E7" w:rsidRPr="00701FAC" w:rsidRDefault="005737E7" w:rsidP="005737E7">
      <w:pPr>
        <w:spacing w:after="0" w:line="240" w:lineRule="auto"/>
        <w:ind w:left="2977" w:right="2540" w:hanging="145"/>
        <w:jc w:val="left"/>
        <w:rPr>
          <w:rFonts w:ascii="Arial" w:eastAsia="Century Gothic" w:hAnsi="Arial" w:cs="Arial"/>
          <w:b/>
          <w:bCs/>
          <w:color w:val="auto"/>
          <w:sz w:val="36"/>
          <w:szCs w:val="36"/>
        </w:rPr>
      </w:pPr>
      <w:r w:rsidRPr="00701FAC">
        <w:rPr>
          <w:rFonts w:ascii="Arial" w:hAnsi="Arial" w:cs="Arial"/>
          <w:b/>
          <w:bCs/>
          <w:color w:val="auto"/>
          <w:sz w:val="36"/>
          <w:szCs w:val="36"/>
        </w:rPr>
        <w:t>Kod CPV 45260000</w:t>
      </w:r>
    </w:p>
    <w:p w14:paraId="645F1811" w14:textId="77777777" w:rsidR="00B3062E" w:rsidRPr="00701FAC" w:rsidRDefault="00844D61">
      <w:pPr>
        <w:spacing w:after="23"/>
        <w:ind w:left="10" w:right="99"/>
        <w:jc w:val="center"/>
        <w:rPr>
          <w:rFonts w:ascii="Arial" w:hAnsi="Arial" w:cs="Arial"/>
          <w:b/>
          <w:bCs/>
          <w:color w:val="auto"/>
        </w:rPr>
      </w:pPr>
      <w:r w:rsidRPr="00701FAC">
        <w:rPr>
          <w:rFonts w:ascii="Arial" w:hAnsi="Arial" w:cs="Arial"/>
          <w:b/>
          <w:bCs/>
          <w:color w:val="auto"/>
          <w:sz w:val="36"/>
        </w:rPr>
        <w:t xml:space="preserve">WYKONYWANIE </w:t>
      </w:r>
    </w:p>
    <w:p w14:paraId="2F2B2B21" w14:textId="06F3D9ED" w:rsidR="00B3062E" w:rsidRPr="00701FAC" w:rsidRDefault="00844D61">
      <w:pPr>
        <w:spacing w:after="1648"/>
        <w:ind w:left="10" w:right="1"/>
        <w:jc w:val="center"/>
        <w:rPr>
          <w:rFonts w:ascii="Arial" w:hAnsi="Arial" w:cs="Arial"/>
          <w:b/>
          <w:bCs/>
          <w:color w:val="auto"/>
          <w:sz w:val="36"/>
        </w:rPr>
      </w:pPr>
      <w:r w:rsidRPr="00701FAC">
        <w:rPr>
          <w:rFonts w:ascii="Arial" w:hAnsi="Arial" w:cs="Arial"/>
          <w:b/>
          <w:bCs/>
          <w:color w:val="auto"/>
          <w:sz w:val="36"/>
        </w:rPr>
        <w:t>POKRYĆ DACHOWYCH</w:t>
      </w:r>
    </w:p>
    <w:p w14:paraId="53FC0215" w14:textId="05E8C72F" w:rsidR="005737E7" w:rsidRPr="00701FAC" w:rsidRDefault="005737E7">
      <w:pPr>
        <w:spacing w:after="1648"/>
        <w:ind w:left="10" w:right="1"/>
        <w:jc w:val="center"/>
        <w:rPr>
          <w:rFonts w:ascii="Arial" w:hAnsi="Arial" w:cs="Arial"/>
          <w:b/>
          <w:bCs/>
          <w:color w:val="auto"/>
          <w:sz w:val="36"/>
        </w:rPr>
      </w:pPr>
    </w:p>
    <w:p w14:paraId="4E2E0A99" w14:textId="4D6C014E" w:rsidR="005737E7" w:rsidRPr="00701FAC" w:rsidRDefault="005737E7">
      <w:pPr>
        <w:spacing w:after="1648"/>
        <w:ind w:left="10" w:right="1"/>
        <w:jc w:val="center"/>
        <w:rPr>
          <w:rFonts w:ascii="Arial" w:hAnsi="Arial" w:cs="Arial"/>
          <w:b/>
          <w:bCs/>
          <w:color w:val="auto"/>
          <w:sz w:val="36"/>
        </w:rPr>
      </w:pPr>
    </w:p>
    <w:p w14:paraId="437AE90C" w14:textId="68BC514A" w:rsidR="005737E7" w:rsidRPr="00701FAC" w:rsidRDefault="005737E7" w:rsidP="005737E7">
      <w:pPr>
        <w:tabs>
          <w:tab w:val="left" w:pos="4230"/>
        </w:tabs>
        <w:spacing w:after="1648"/>
        <w:ind w:left="10" w:right="1"/>
        <w:rPr>
          <w:rFonts w:ascii="Arial" w:hAnsi="Arial" w:cs="Arial"/>
          <w:b/>
          <w:bCs/>
          <w:color w:val="auto"/>
          <w:sz w:val="36"/>
        </w:rPr>
      </w:pPr>
      <w:r w:rsidRPr="00701FAC">
        <w:rPr>
          <w:rFonts w:ascii="Arial" w:hAnsi="Arial" w:cs="Arial"/>
          <w:b/>
          <w:bCs/>
          <w:color w:val="auto"/>
          <w:sz w:val="36"/>
        </w:rPr>
        <w:tab/>
      </w:r>
      <w:r w:rsidRPr="00701FAC">
        <w:rPr>
          <w:rFonts w:ascii="Arial" w:hAnsi="Arial" w:cs="Arial"/>
          <w:b/>
          <w:bCs/>
          <w:color w:val="auto"/>
          <w:sz w:val="36"/>
        </w:rPr>
        <w:tab/>
      </w:r>
    </w:p>
    <w:p w14:paraId="1B876A3D" w14:textId="77777777" w:rsidR="005737E7" w:rsidRPr="00701FAC" w:rsidRDefault="005737E7" w:rsidP="005737E7">
      <w:pPr>
        <w:tabs>
          <w:tab w:val="left" w:pos="4230"/>
        </w:tabs>
        <w:spacing w:after="1648"/>
        <w:ind w:left="10" w:right="1"/>
        <w:rPr>
          <w:rFonts w:ascii="Arial" w:hAnsi="Arial" w:cs="Arial"/>
          <w:b/>
          <w:bCs/>
          <w:color w:val="auto"/>
          <w:sz w:val="36"/>
        </w:rPr>
      </w:pPr>
    </w:p>
    <w:p w14:paraId="0EF674E2" w14:textId="77777777" w:rsidR="00B3062E" w:rsidRPr="00701FAC" w:rsidRDefault="00844D61">
      <w:pPr>
        <w:spacing w:after="603" w:line="259" w:lineRule="auto"/>
        <w:ind w:left="0" w:right="1" w:firstLine="0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SPIS TREŚCI</w:t>
      </w:r>
    </w:p>
    <w:p w14:paraId="60E1C127" w14:textId="7AB6C3E1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1</w:t>
      </w:r>
      <w:r w:rsidR="005737E7"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. </w:t>
      </w: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WSTĘP </w:t>
      </w:r>
    </w:p>
    <w:p w14:paraId="44847794" w14:textId="33C3D45D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2.</w:t>
      </w:r>
      <w:r w:rsidR="005737E7"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MATERIAŁY </w:t>
      </w:r>
    </w:p>
    <w:p w14:paraId="08880D95" w14:textId="5CB8ACA3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3. SPRZĘT </w:t>
      </w:r>
    </w:p>
    <w:p w14:paraId="0124CE0E" w14:textId="4B6AD6A1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4. TRANSPORT </w:t>
      </w:r>
    </w:p>
    <w:p w14:paraId="64171362" w14:textId="24041373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5. WYKONANIE ROBÓT  </w:t>
      </w:r>
    </w:p>
    <w:p w14:paraId="58E99615" w14:textId="2B919CE8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6. KONTROLA JAKOŚCI ROBÓT </w:t>
      </w:r>
    </w:p>
    <w:p w14:paraId="7191E06B" w14:textId="30AB02A7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7. OBMIAR ROBÓT</w:t>
      </w:r>
    </w:p>
    <w:p w14:paraId="3E8AD5BA" w14:textId="668252AF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8. ODBIÓR ROBÓT </w:t>
      </w:r>
    </w:p>
    <w:p w14:paraId="07C5B529" w14:textId="1BDF746E" w:rsidR="005737E7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9. PODSTAWA PŁATNOŚCI </w:t>
      </w:r>
    </w:p>
    <w:p w14:paraId="260EA58A" w14:textId="320F9BF9" w:rsidR="00B3062E" w:rsidRPr="00701FAC" w:rsidRDefault="00844D61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10. PRZEPISY ZWIĄZANE </w:t>
      </w:r>
    </w:p>
    <w:p w14:paraId="573BF610" w14:textId="325BB76E" w:rsidR="005737E7" w:rsidRPr="00701FAC" w:rsidRDefault="005737E7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398B4DB" w14:textId="145EEA63" w:rsidR="005737E7" w:rsidRPr="00701FAC" w:rsidRDefault="005737E7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8528D9E" w14:textId="77777777" w:rsidR="005737E7" w:rsidRPr="00701FAC" w:rsidRDefault="005737E7" w:rsidP="005737E7">
      <w:pPr>
        <w:ind w:left="142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AF16B56" w14:textId="77777777" w:rsidR="00B3062E" w:rsidRPr="00701FAC" w:rsidRDefault="00844D61">
      <w:pPr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Najważniejsze oznaczenia i skróty:</w:t>
      </w:r>
    </w:p>
    <w:p w14:paraId="3AAF91AB" w14:textId="77777777" w:rsidR="00B3062E" w:rsidRPr="00701FAC" w:rsidRDefault="00844D61">
      <w:pPr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ST – Specyfikacja Techniczna</w:t>
      </w:r>
    </w:p>
    <w:p w14:paraId="7C741546" w14:textId="77777777" w:rsidR="00B3062E" w:rsidRPr="00701FAC" w:rsidRDefault="00844D61">
      <w:pPr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SST – Szczegółowa Specyfikacja Techniczna</w:t>
      </w:r>
    </w:p>
    <w:p w14:paraId="0C611B90" w14:textId="77777777" w:rsidR="00B3062E" w:rsidRPr="00701FAC" w:rsidRDefault="00844D61">
      <w:pPr>
        <w:ind w:left="-5" w:right="0"/>
        <w:rPr>
          <w:color w:val="auto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ITB – Instytut Techniki Budowlanej</w:t>
      </w:r>
      <w:r w:rsidRPr="00701FAC">
        <w:rPr>
          <w:color w:val="auto"/>
        </w:rPr>
        <w:br w:type="page"/>
      </w:r>
    </w:p>
    <w:p w14:paraId="046B23FB" w14:textId="77777777" w:rsidR="00B3062E" w:rsidRPr="00701FAC" w:rsidRDefault="00844D61">
      <w:pPr>
        <w:numPr>
          <w:ilvl w:val="0"/>
          <w:numId w:val="1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WSTĘP</w:t>
      </w:r>
    </w:p>
    <w:p w14:paraId="2227D22B" w14:textId="77777777" w:rsidR="00800F44" w:rsidRPr="00701FAC" w:rsidRDefault="00800F44" w:rsidP="00800F44">
      <w:pPr>
        <w:numPr>
          <w:ilvl w:val="1"/>
          <w:numId w:val="1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Nazwa nadana zamówieniu przez zamawiającego</w:t>
      </w:r>
    </w:p>
    <w:p w14:paraId="654F654B" w14:textId="77777777" w:rsidR="00844D61" w:rsidRPr="00844D61" w:rsidRDefault="00844D61" w:rsidP="00844D61">
      <w:pPr>
        <w:pStyle w:val="Akapitzlist"/>
        <w:ind w:left="42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Inwestor: Społeczna Inicjatywa Mieszkaniowa </w:t>
      </w:r>
      <w:proofErr w:type="spellStart"/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31EDEA07" w14:textId="77777777" w:rsidR="00844D61" w:rsidRPr="00844D61" w:rsidRDefault="00844D61" w:rsidP="00844D61">
      <w:pPr>
        <w:pStyle w:val="Akapitzlist"/>
        <w:ind w:left="420" w:right="12" w:firstLine="0"/>
        <w:rPr>
          <w:rFonts w:ascii="Arial" w:eastAsia="Arial" w:hAnsi="Arial" w:cs="Arial"/>
          <w:color w:val="auto"/>
          <w:sz w:val="16"/>
        </w:rPr>
      </w:pPr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844D61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0" w:name="_Hlk104804362"/>
      <w:r w:rsidRPr="00844D61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0"/>
    <w:p w14:paraId="0F37EB15" w14:textId="77777777" w:rsidR="00844D61" w:rsidRPr="00844D61" w:rsidRDefault="00844D61" w:rsidP="00844D61">
      <w:pPr>
        <w:pStyle w:val="Akapitzlist"/>
        <w:ind w:left="42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Miejsce realizacji: </w:t>
      </w:r>
      <w:bookmarkStart w:id="1" w:name="_Hlk104804536"/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844D61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1"/>
    <w:p w14:paraId="5CB847C0" w14:textId="17E571DA" w:rsidR="00800F44" w:rsidRPr="00701FAC" w:rsidRDefault="00800F44" w:rsidP="00E209EC">
      <w:pPr>
        <w:spacing w:after="0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0A027D29" w14:textId="77777777" w:rsidR="00B3062E" w:rsidRPr="00701FAC" w:rsidRDefault="00844D61">
      <w:pPr>
        <w:numPr>
          <w:ilvl w:val="1"/>
          <w:numId w:val="1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1C884472" w14:textId="56C2E296" w:rsidR="00B3062E" w:rsidRPr="00701FAC" w:rsidRDefault="00844D61" w:rsidP="00800F44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Specyfikacja techniczna (ST) stanowi dokument przetargowy i kontraktowy przy zlecaniu i realizacji robót wymienionych w pkt. 1.1.</w:t>
      </w:r>
    </w:p>
    <w:p w14:paraId="0D7B8231" w14:textId="69CA4884" w:rsidR="00800F44" w:rsidRPr="00701FAC" w:rsidRDefault="00800F44" w:rsidP="00800F44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Przedmiotem niniejszej szczegółowej specyfikacji technicznej (SST)  są wymagania dotyczące wykonania i odbioru pokryć dachowych papą i membraną EPDM wraz z obróbkami blacharskimi oraz rynnami i rurami spustowymi</w:t>
      </w:r>
    </w:p>
    <w:p w14:paraId="32B685E2" w14:textId="2807F5FD" w:rsidR="00B3062E" w:rsidRPr="00701FAC" w:rsidRDefault="00844D61" w:rsidP="00800F44">
      <w:pPr>
        <w:spacing w:after="0" w:line="240" w:lineRule="auto"/>
        <w:ind w:left="-15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</w:t>
      </w:r>
    </w:p>
    <w:p w14:paraId="5474BD2E" w14:textId="77777777" w:rsidR="00800F44" w:rsidRPr="00701FAC" w:rsidRDefault="00800F44" w:rsidP="00800F44">
      <w:pPr>
        <w:spacing w:after="0" w:line="240" w:lineRule="auto"/>
        <w:ind w:left="-15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F3AF8FC" w14:textId="77777777" w:rsidR="00B3062E" w:rsidRPr="00701FAC" w:rsidRDefault="00844D61">
      <w:pPr>
        <w:numPr>
          <w:ilvl w:val="1"/>
          <w:numId w:val="1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Zakres robót objętych ST</w:t>
      </w:r>
    </w:p>
    <w:p w14:paraId="346E92C5" w14:textId="4917809D" w:rsidR="00B3062E" w:rsidRPr="00701FAC" w:rsidRDefault="00844D61" w:rsidP="00800F44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Roboty, których </w:t>
      </w:r>
      <w:r w:rsidRPr="00701FAC">
        <w:rPr>
          <w:rFonts w:ascii="Arial" w:hAnsi="Arial" w:cs="Arial"/>
          <w:color w:val="auto"/>
          <w:sz w:val="16"/>
          <w:szCs w:val="16"/>
        </w:rPr>
        <w:t>dotyczy specyfikacja, obejmują wszystkie czynności umożliwiające i mające na celu wykonanie pokryć dachowych papą</w:t>
      </w:r>
      <w:r w:rsidR="00800F44" w:rsidRPr="00701FAC">
        <w:rPr>
          <w:rFonts w:ascii="Arial" w:hAnsi="Arial" w:cs="Arial"/>
          <w:color w:val="auto"/>
          <w:sz w:val="16"/>
          <w:szCs w:val="16"/>
        </w:rPr>
        <w:t xml:space="preserve"> oraz membraną EPDM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wraz z obróbkami blacharskimi, rynnami i rurami spustowymi oraz elementami wystającymi ponad dach budynku.</w:t>
      </w:r>
    </w:p>
    <w:p w14:paraId="29A23291" w14:textId="77777777" w:rsidR="00800F44" w:rsidRPr="00701FAC" w:rsidRDefault="00800F44" w:rsidP="00800F44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1016463" w14:textId="77777777" w:rsidR="00B3062E" w:rsidRPr="00701FAC" w:rsidRDefault="00844D61">
      <w:pPr>
        <w:numPr>
          <w:ilvl w:val="1"/>
          <w:numId w:val="1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Określenia podstawowe</w:t>
      </w:r>
    </w:p>
    <w:p w14:paraId="7D74F51D" w14:textId="25ADED77" w:rsidR="00B3062E" w:rsidRPr="00701FAC" w:rsidRDefault="00844D61" w:rsidP="00800F44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Określenia podane w niniejszej ST są zgodne z obowiązującymi odpowiednimi normami oraz określeniami podanymi w ST Kod CPV 45000000-7 „Wymagania ogólne”.</w:t>
      </w:r>
    </w:p>
    <w:p w14:paraId="58165797" w14:textId="77777777" w:rsidR="00800F44" w:rsidRPr="00701FAC" w:rsidRDefault="00800F44" w:rsidP="00800F44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0AEC60DC" w14:textId="77777777" w:rsidR="00B3062E" w:rsidRPr="00701FAC" w:rsidRDefault="00844D61">
      <w:pPr>
        <w:numPr>
          <w:ilvl w:val="1"/>
          <w:numId w:val="1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</w:t>
      </w:r>
    </w:p>
    <w:p w14:paraId="294C8D33" w14:textId="59387103" w:rsidR="00B3062E" w:rsidRPr="00701FAC" w:rsidRDefault="00844D61" w:rsidP="00800F44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Wykonawca robót jest odpowiedzialny za jakość ich </w:t>
      </w:r>
      <w:r w:rsidRPr="00701FAC">
        <w:rPr>
          <w:rFonts w:ascii="Arial" w:hAnsi="Arial" w:cs="Arial"/>
          <w:color w:val="auto"/>
          <w:sz w:val="16"/>
          <w:szCs w:val="16"/>
        </w:rPr>
        <w:t>wykonania oraz za zgodność z dokumentacją projektową, ST i poleceniami Inspektora nadzoru. Ogólne wymagania dotyczące robót podano w ST Kod CPV 45000000-7 „Wymagania ogólne”</w:t>
      </w:r>
    </w:p>
    <w:p w14:paraId="65546D2F" w14:textId="77777777" w:rsidR="00800F44" w:rsidRPr="00701FAC" w:rsidRDefault="00800F44" w:rsidP="00800F44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78D1969F" w14:textId="77777777" w:rsidR="00B3062E" w:rsidRPr="00701FAC" w:rsidRDefault="00844D61">
      <w:pPr>
        <w:numPr>
          <w:ilvl w:val="0"/>
          <w:numId w:val="1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MATERIAŁY</w:t>
      </w:r>
    </w:p>
    <w:p w14:paraId="1B8C3B57" w14:textId="77777777" w:rsidR="00B3062E" w:rsidRPr="00701FAC" w:rsidRDefault="00844D61">
      <w:pPr>
        <w:numPr>
          <w:ilvl w:val="1"/>
          <w:numId w:val="1"/>
        </w:numPr>
        <w:spacing w:after="64" w:line="259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Ogólne wymagania dotyczące materiałów, ich pozyskiwania i składowania podano w ST Kod CPV 45000000-7 „Wymagania ogólne” pkt 2</w:t>
      </w:r>
    </w:p>
    <w:p w14:paraId="72BF37B2" w14:textId="50FDD174" w:rsidR="00B3062E" w:rsidRPr="00701FAC" w:rsidRDefault="00844D61" w:rsidP="00800F44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Ponadto materiały stosowane do wykonywania pokryć dachowych powinny mieć:</w:t>
      </w:r>
    </w:p>
    <w:p w14:paraId="2CC89A15" w14:textId="1FFDA776" w:rsidR="00B3062E" w:rsidRPr="00701FAC" w:rsidRDefault="00844D61">
      <w:pPr>
        <w:numPr>
          <w:ilvl w:val="0"/>
          <w:numId w:val="2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Certyfikat lub Deklarację </w:t>
      </w:r>
      <w:r w:rsidR="00800F44" w:rsidRPr="00701FAC">
        <w:rPr>
          <w:rFonts w:ascii="Arial" w:hAnsi="Arial" w:cs="Arial"/>
          <w:color w:val="auto"/>
          <w:sz w:val="16"/>
          <w:szCs w:val="16"/>
        </w:rPr>
        <w:t>Właściwości Użytkowych</w:t>
      </w:r>
      <w:r w:rsidRPr="00701FAC">
        <w:rPr>
          <w:rFonts w:ascii="Arial" w:hAnsi="Arial" w:cs="Arial"/>
          <w:color w:val="auto"/>
          <w:sz w:val="16"/>
          <w:szCs w:val="16"/>
        </w:rPr>
        <w:t>,</w:t>
      </w:r>
    </w:p>
    <w:p w14:paraId="26CBD931" w14:textId="77777777" w:rsidR="00B3062E" w:rsidRPr="00701FAC" w:rsidRDefault="00844D61">
      <w:pPr>
        <w:numPr>
          <w:ilvl w:val="0"/>
          <w:numId w:val="2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Certyfikat na znak bezpieczeństwa,</w:t>
      </w:r>
    </w:p>
    <w:p w14:paraId="4B5482F4" w14:textId="77777777" w:rsidR="00B17EFC" w:rsidRPr="00701FAC" w:rsidRDefault="00844D61">
      <w:pPr>
        <w:numPr>
          <w:ilvl w:val="0"/>
          <w:numId w:val="2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Certyfikat zgodności ze zharmonizowaną normą europejską wprowadzoną do zbioru norm polskich,</w:t>
      </w:r>
    </w:p>
    <w:p w14:paraId="7558042A" w14:textId="72EDA103" w:rsidR="00B3062E" w:rsidRPr="00701FAC" w:rsidRDefault="00844D61">
      <w:pPr>
        <w:numPr>
          <w:ilvl w:val="0"/>
          <w:numId w:val="2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na opakowaniach powinien znajdować się termin przydatności do stosowania.</w:t>
      </w:r>
    </w:p>
    <w:p w14:paraId="470FED78" w14:textId="4915F972" w:rsidR="00B17EFC" w:rsidRPr="00701FAC" w:rsidRDefault="00B17EFC">
      <w:pPr>
        <w:numPr>
          <w:ilvl w:val="0"/>
          <w:numId w:val="2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być produkowane zgodnie z obowiązującymi normami,</w:t>
      </w:r>
    </w:p>
    <w:p w14:paraId="4CA4B784" w14:textId="77777777" w:rsidR="00B3062E" w:rsidRPr="00701FAC" w:rsidRDefault="00844D61">
      <w:pPr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Sposób transportu i składowania powinien być zgodny z warunkami i wymaganiami podanymi przez producenta.</w:t>
      </w:r>
    </w:p>
    <w:p w14:paraId="66213152" w14:textId="2214CA97" w:rsidR="00B3062E" w:rsidRPr="00701FAC" w:rsidRDefault="00844D61" w:rsidP="00B17EFC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Wykonawca obowiązany jest posiadać na budowie pełną dokumentację dotyczącą składowanych na budowie materiałów przeznaczonych do wykonania pokryć dachowych.</w:t>
      </w:r>
    </w:p>
    <w:p w14:paraId="12ACD4E8" w14:textId="77777777" w:rsidR="00B17EFC" w:rsidRPr="00701FAC" w:rsidRDefault="00B17EFC" w:rsidP="00B17EFC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226E05FC" w14:textId="77777777" w:rsidR="00B3062E" w:rsidRPr="00701FAC" w:rsidRDefault="00844D61" w:rsidP="00B17EFC">
      <w:pPr>
        <w:spacing w:after="64" w:line="259" w:lineRule="auto"/>
        <w:ind w:left="703" w:right="0" w:firstLine="5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2.2. Rodzaje materiałów</w:t>
      </w:r>
    </w:p>
    <w:p w14:paraId="71E85D4D" w14:textId="3E9B4064" w:rsidR="00B3062E" w:rsidRPr="00701FAC" w:rsidRDefault="00844D61">
      <w:pPr>
        <w:ind w:left="405"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2.2.1.Wszelkie materiały do wykonania pokryć dachowych powinny odpowiadać wymaganiom zawartym w normach polskich lub </w:t>
      </w:r>
      <w:r w:rsidR="00B17EFC" w:rsidRPr="00701FAC">
        <w:rPr>
          <w:rFonts w:ascii="Arial" w:hAnsi="Arial" w:cs="Arial"/>
          <w:color w:val="auto"/>
          <w:sz w:val="16"/>
          <w:szCs w:val="16"/>
        </w:rPr>
        <w:t>Krajowych ocenach technicznych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ITB dopuszczających dany materiał do powszechnego stosowania w budownictwie.</w:t>
      </w:r>
    </w:p>
    <w:p w14:paraId="7A503B1F" w14:textId="63C86D32" w:rsidR="00B3062E" w:rsidRPr="00701FAC" w:rsidRDefault="00844D61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2.2.2. Papa asfaltowa </w:t>
      </w:r>
      <w:r w:rsidR="00B17EFC" w:rsidRPr="00701FAC">
        <w:rPr>
          <w:rFonts w:ascii="Arial" w:hAnsi="Arial" w:cs="Arial"/>
          <w:color w:val="auto"/>
          <w:sz w:val="16"/>
          <w:szCs w:val="16"/>
        </w:rPr>
        <w:t>podkładowa termozgrzewalna:</w:t>
      </w:r>
    </w:p>
    <w:p w14:paraId="6A0BA779" w14:textId="77777777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- Grubość -  4,0 (-0 / +0,4) / (4,0 ÷ 4,4) </w:t>
      </w:r>
    </w:p>
    <w:p w14:paraId="03E80804" w14:textId="6015DB56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- Wodoszczelność 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wg 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EN 1928 Metoda B - wodoszczelna przy ciśnieniu 200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kPa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5D922573" w14:textId="0568A8E6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Reakcja na ogień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 wg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EN 13501-1 - klasa E </w:t>
      </w:r>
    </w:p>
    <w:p w14:paraId="6D74CDE8" w14:textId="34BE0D92" w:rsidR="00F43126" w:rsidRPr="00701FAC" w:rsidRDefault="00B17EFC" w:rsidP="00F43126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Właściwości mechaniczne przy rozciąganiu: maksymalna siła rozciągająca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 wg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="00F43126" w:rsidRPr="00701FAC">
        <w:rPr>
          <w:rFonts w:ascii="Arial" w:hAnsi="Arial" w:cs="Arial"/>
          <w:color w:val="auto"/>
          <w:sz w:val="16"/>
          <w:szCs w:val="16"/>
        </w:rPr>
        <w:t>EN 12311-1</w:t>
      </w:r>
    </w:p>
    <w:p w14:paraId="6B18A007" w14:textId="059E0D6C" w:rsidR="00F43126" w:rsidRPr="00701FAC" w:rsidRDefault="00F43126" w:rsidP="00F43126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="00B17EFC" w:rsidRPr="00701FAC">
        <w:rPr>
          <w:rFonts w:ascii="Arial" w:hAnsi="Arial" w:cs="Arial"/>
          <w:color w:val="auto"/>
          <w:sz w:val="16"/>
          <w:szCs w:val="16"/>
        </w:rPr>
        <w:t>-kierunek wzdłuż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950 (-0 / +350) / (950 ÷ 1300) - N/50 mm</w:t>
      </w:r>
    </w:p>
    <w:p w14:paraId="71D6321E" w14:textId="10955C6D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 -kierunek w poprzek 750 (-0 / +350) / (750 ÷ 1100) </w:t>
      </w:r>
      <w:r w:rsidR="00F43126" w:rsidRPr="00701FAC">
        <w:rPr>
          <w:rFonts w:ascii="Arial" w:hAnsi="Arial" w:cs="Arial"/>
          <w:color w:val="auto"/>
          <w:sz w:val="16"/>
          <w:szCs w:val="16"/>
        </w:rPr>
        <w:t>- N/50 mm</w:t>
      </w:r>
    </w:p>
    <w:p w14:paraId="0A9B0C04" w14:textId="72674344" w:rsidR="00F43126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- Właściwości mechaniczne przy rozciąganiu: wydłużenie </w:t>
      </w:r>
      <w:r w:rsidR="00F43126" w:rsidRPr="00701FAC">
        <w:rPr>
          <w:rFonts w:ascii="Arial" w:hAnsi="Arial" w:cs="Arial"/>
          <w:color w:val="auto"/>
          <w:sz w:val="16"/>
          <w:szCs w:val="16"/>
        </w:rPr>
        <w:t>wg EN 12311-1</w:t>
      </w:r>
    </w:p>
    <w:p w14:paraId="1BDB8241" w14:textId="01338840" w:rsidR="00F43126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kierunek wzdłuż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 50 ± 10 - %</w:t>
      </w:r>
    </w:p>
    <w:p w14:paraId="1D68D160" w14:textId="33441BF7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kierunek w poprzek   50 ± 10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 -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="00F43126" w:rsidRPr="00701FAC">
        <w:rPr>
          <w:rFonts w:ascii="Arial" w:hAnsi="Arial" w:cs="Arial"/>
          <w:color w:val="auto"/>
          <w:sz w:val="16"/>
          <w:szCs w:val="16"/>
        </w:rPr>
        <w:t>%</w:t>
      </w:r>
    </w:p>
    <w:p w14:paraId="016E1B39" w14:textId="46B67433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Giętkość w niskiej temperaturze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 wg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EN 1109 ºC ≤ -20 /</w:t>
      </w:r>
      <w:r w:rsidRPr="00701FAC">
        <w:rPr>
          <w:rFonts w:ascii="Cambria Math" w:hAnsi="Cambria Math" w:cs="Cambria Math"/>
          <w:color w:val="auto"/>
          <w:sz w:val="16"/>
          <w:szCs w:val="16"/>
        </w:rPr>
        <w:t>∅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30 mm </w:t>
      </w:r>
    </w:p>
    <w:p w14:paraId="5EA08052" w14:textId="7E47EEB4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Odporność na spływanie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 wg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EN 1110 ºC ≥ 100 </w:t>
      </w:r>
    </w:p>
    <w:p w14:paraId="05B224A7" w14:textId="0C2C4E10" w:rsidR="00B17EFC" w:rsidRPr="00701FAC" w:rsidRDefault="00B17EFC" w:rsidP="00B17EFC">
      <w:pPr>
        <w:spacing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- Przenikanie pary wodnej </w:t>
      </w:r>
      <w:r w:rsidR="00F43126" w:rsidRPr="00701FAC">
        <w:rPr>
          <w:rFonts w:ascii="Arial" w:hAnsi="Arial" w:cs="Arial"/>
          <w:color w:val="auto"/>
          <w:sz w:val="16"/>
          <w:szCs w:val="16"/>
        </w:rPr>
        <w:t xml:space="preserve">wg </w:t>
      </w:r>
      <w:r w:rsidRPr="00701FAC">
        <w:rPr>
          <w:rFonts w:ascii="Arial" w:hAnsi="Arial" w:cs="Arial"/>
          <w:color w:val="auto"/>
          <w:sz w:val="16"/>
          <w:szCs w:val="16"/>
        </w:rPr>
        <w:t>EN 13707 - µ=20 000</w:t>
      </w:r>
    </w:p>
    <w:p w14:paraId="69A480D2" w14:textId="4C1E0C45" w:rsidR="00B17EFC" w:rsidRPr="00701FAC" w:rsidRDefault="00F4312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2.2.</w:t>
      </w:r>
      <w:r w:rsidR="003F5861" w:rsidRPr="00701FAC">
        <w:rPr>
          <w:rFonts w:ascii="Arial" w:hAnsi="Arial" w:cs="Arial"/>
          <w:color w:val="auto"/>
          <w:sz w:val="16"/>
          <w:szCs w:val="16"/>
        </w:rPr>
        <w:t>3</w:t>
      </w:r>
      <w:r w:rsidRPr="00701FAC">
        <w:rPr>
          <w:rFonts w:ascii="Arial" w:hAnsi="Arial" w:cs="Arial"/>
          <w:color w:val="auto"/>
          <w:sz w:val="16"/>
          <w:szCs w:val="16"/>
        </w:rPr>
        <w:t>. Membrana EPDM</w:t>
      </w:r>
    </w:p>
    <w:p w14:paraId="3B128258" w14:textId="6EB1F1E0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Grubość</w:t>
      </w:r>
      <w:r w:rsidR="000710F6" w:rsidRPr="00701FAC">
        <w:rPr>
          <w:rFonts w:ascii="Arial" w:hAnsi="Arial" w:cs="Arial"/>
          <w:color w:val="auto"/>
          <w:sz w:val="16"/>
          <w:szCs w:val="16"/>
        </w:rPr>
        <w:t xml:space="preserve"> min. 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1.14mm, </w:t>
      </w:r>
    </w:p>
    <w:p w14:paraId="501F3F03" w14:textId="77777777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Masa na jednostkę powierzchni-1,90 kg/m²</w:t>
      </w:r>
    </w:p>
    <w:p w14:paraId="59C13626" w14:textId="37F84777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Wodoszczelność</w:t>
      </w:r>
      <w:r w:rsidR="00B5645E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-</w:t>
      </w:r>
      <w:r w:rsidR="00B5645E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="003F5861" w:rsidRPr="00701FAC">
        <w:rPr>
          <w:rFonts w:ascii="Arial" w:hAnsi="Arial" w:cs="Arial"/>
          <w:color w:val="auto"/>
          <w:sz w:val="16"/>
          <w:szCs w:val="16"/>
        </w:rPr>
        <w:t>spełniona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, </w:t>
      </w:r>
    </w:p>
    <w:p w14:paraId="64472466" w14:textId="77777777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lastRenderedPageBreak/>
        <w:t>Wytrzymałość na rozciąganie- ≥ 7 N/mm²</w:t>
      </w:r>
    </w:p>
    <w:p w14:paraId="184C39AB" w14:textId="77777777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Wydłużenie ≥ 250%</w:t>
      </w:r>
    </w:p>
    <w:p w14:paraId="3F4D1C14" w14:textId="57B88901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Odporność na obciążenie statyczne</w:t>
      </w:r>
      <w:r w:rsidR="000710F6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="00E373C7" w:rsidRPr="00701FAC">
        <w:rPr>
          <w:rFonts w:ascii="Arial" w:hAnsi="Arial" w:cs="Arial"/>
          <w:color w:val="auto"/>
          <w:sz w:val="16"/>
          <w:szCs w:val="16"/>
        </w:rPr>
        <w:t xml:space="preserve">≥ </w:t>
      </w:r>
      <w:r w:rsidRPr="00701FAC">
        <w:rPr>
          <w:rFonts w:ascii="Arial" w:hAnsi="Arial" w:cs="Arial"/>
          <w:color w:val="auto"/>
          <w:sz w:val="16"/>
          <w:szCs w:val="16"/>
        </w:rPr>
        <w:t>20kg</w:t>
      </w:r>
    </w:p>
    <w:p w14:paraId="0C3B05A2" w14:textId="4363CAC4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Odporność na uderzenia</w:t>
      </w:r>
      <w:r w:rsidR="00E373C7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="00E373C7" w:rsidRPr="00701FAC">
        <w:rPr>
          <w:rFonts w:ascii="Arial" w:hAnsi="Arial" w:cs="Arial"/>
          <w:color w:val="auto"/>
          <w:sz w:val="16"/>
          <w:szCs w:val="16"/>
        </w:rPr>
        <w:t xml:space="preserve">≥ </w:t>
      </w:r>
      <w:r w:rsidRPr="00701FAC">
        <w:rPr>
          <w:rFonts w:ascii="Arial" w:hAnsi="Arial" w:cs="Arial"/>
          <w:color w:val="auto"/>
          <w:sz w:val="16"/>
          <w:szCs w:val="16"/>
        </w:rPr>
        <w:t>30</w:t>
      </w:r>
      <w:r w:rsidR="00E373C7" w:rsidRPr="00701FAC">
        <w:rPr>
          <w:rFonts w:ascii="Arial" w:hAnsi="Arial" w:cs="Arial"/>
          <w:color w:val="auto"/>
          <w:sz w:val="16"/>
          <w:szCs w:val="16"/>
        </w:rPr>
        <w:t>0</w:t>
      </w:r>
    </w:p>
    <w:p w14:paraId="4F53CD93" w14:textId="77777777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Odporność na rozdarcie- ≥40 N</w:t>
      </w:r>
    </w:p>
    <w:p w14:paraId="5D02634E" w14:textId="459495ED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Ekspozycja na promieniowanie UV-  ≥7500h</w:t>
      </w:r>
    </w:p>
    <w:p w14:paraId="3FA89E8C" w14:textId="77777777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Składalność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 w niskiej temperaturze ≤ -45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o</w:t>
      </w:r>
      <w:r w:rsidRPr="00701FAC">
        <w:rPr>
          <w:rFonts w:ascii="Arial" w:hAnsi="Arial" w:cs="Arial"/>
          <w:color w:val="auto"/>
          <w:sz w:val="16"/>
          <w:szCs w:val="16"/>
        </w:rPr>
        <w:t>C</w:t>
      </w:r>
    </w:p>
    <w:p w14:paraId="42D73A53" w14:textId="77777777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Stabilność wymiarowa ≤ 0,5%</w:t>
      </w:r>
    </w:p>
    <w:p w14:paraId="55E55758" w14:textId="089896A0" w:rsidR="007F7606" w:rsidRPr="00701FAC" w:rsidRDefault="007F7606" w:rsidP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Odporność ogniowa - E</w:t>
      </w:r>
    </w:p>
    <w:p w14:paraId="178428F5" w14:textId="77777777" w:rsidR="007F7606" w:rsidRPr="00701FAC" w:rsidRDefault="007F7606">
      <w:pPr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2CFA780F" w14:textId="42D8AF66" w:rsidR="00B3062E" w:rsidRPr="00701FAC" w:rsidRDefault="00844D61" w:rsidP="004E1884">
      <w:pPr>
        <w:numPr>
          <w:ilvl w:val="2"/>
          <w:numId w:val="5"/>
        </w:numPr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Blacha stalowa ocynkowana płaska wg normy PN-61/B-10245, PN-73/H-92122</w:t>
      </w:r>
      <w:r w:rsidR="00281C7C" w:rsidRPr="00701FAC">
        <w:rPr>
          <w:rFonts w:ascii="Arial" w:hAnsi="Arial" w:cs="Arial"/>
          <w:color w:val="auto"/>
          <w:sz w:val="16"/>
          <w:szCs w:val="16"/>
        </w:rPr>
        <w:t>, powlekana</w:t>
      </w:r>
      <w:r w:rsidRPr="00701FAC">
        <w:rPr>
          <w:rFonts w:ascii="Arial" w:hAnsi="Arial" w:cs="Arial"/>
          <w:color w:val="auto"/>
          <w:sz w:val="16"/>
          <w:szCs w:val="16"/>
        </w:rPr>
        <w:t>.</w:t>
      </w:r>
    </w:p>
    <w:p w14:paraId="1FDCAEE5" w14:textId="77777777" w:rsidR="00B3062E" w:rsidRPr="00701FAC" w:rsidRDefault="00844D61">
      <w:pPr>
        <w:spacing w:after="28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Blachy stalowe płaskie o grub. min. 0,5 mm obustronnie ocynkowane w arkuszach.</w:t>
      </w:r>
    </w:p>
    <w:p w14:paraId="702E39B1" w14:textId="6BA8AC9E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Grubość powłoki cynku min. 275 g/m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01FAC">
        <w:rPr>
          <w:rFonts w:ascii="Arial" w:hAnsi="Arial" w:cs="Arial"/>
          <w:color w:val="auto"/>
          <w:sz w:val="16"/>
          <w:szCs w:val="16"/>
        </w:rPr>
        <w:t>.</w:t>
      </w:r>
    </w:p>
    <w:p w14:paraId="4128055F" w14:textId="3F6D2BBF" w:rsidR="00C65B42" w:rsidRPr="00701FAC" w:rsidRDefault="00D051F8" w:rsidP="00693CB2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Grubość powłoki dekoracyjnej min. 35 mikronów</w:t>
      </w:r>
    </w:p>
    <w:p w14:paraId="3868257A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Materiały pokrywcze mogą być przyjęte na budowę, jeżeli spełniają następujące warunki:</w:t>
      </w:r>
    </w:p>
    <w:p w14:paraId="0E727BA3" w14:textId="77777777" w:rsidR="00B3062E" w:rsidRPr="00701FAC" w:rsidRDefault="00844D61">
      <w:pPr>
        <w:spacing w:after="7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odpowiadają wyrobom wymienionym w dokumentacji projektowej,</w:t>
      </w:r>
    </w:p>
    <w:p w14:paraId="58FDC62C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są właściwie </w:t>
      </w:r>
      <w:r w:rsidRPr="00701FAC">
        <w:rPr>
          <w:rFonts w:ascii="Arial" w:hAnsi="Arial" w:cs="Arial"/>
          <w:color w:val="auto"/>
          <w:sz w:val="16"/>
          <w:szCs w:val="16"/>
        </w:rPr>
        <w:t>opakowane i oznakowane,</w:t>
      </w:r>
    </w:p>
    <w:p w14:paraId="1AA87B66" w14:textId="77777777" w:rsidR="00B3062E" w:rsidRPr="00701FAC" w:rsidRDefault="00844D61">
      <w:pPr>
        <w:spacing w:after="7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spełniają wymagane właściwości wykazane w odpowiednich dokumentach,</w:t>
      </w:r>
    </w:p>
    <w:p w14:paraId="4C92C3BB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mają deklarację zgodności i certyfikat zgodności.</w:t>
      </w:r>
    </w:p>
    <w:p w14:paraId="356BC84F" w14:textId="77777777" w:rsidR="00B3062E" w:rsidRPr="00701FAC" w:rsidRDefault="00844D61">
      <w:pPr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Wszystkie materiały dekarskie powinny być przechowywane i magazynowane zgodnie z instrukcją </w:t>
      </w:r>
      <w:r w:rsidRPr="00701FAC">
        <w:rPr>
          <w:rFonts w:ascii="Arial" w:hAnsi="Arial" w:cs="Arial"/>
          <w:color w:val="auto"/>
          <w:sz w:val="16"/>
          <w:szCs w:val="16"/>
        </w:rPr>
        <w:t>producenta oraz według odpowiednich norm wyrobu.</w:t>
      </w:r>
    </w:p>
    <w:p w14:paraId="02F03D58" w14:textId="3251C0F9" w:rsidR="00B3062E" w:rsidRPr="00701FAC" w:rsidRDefault="00844D61" w:rsidP="006E293F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Przyjęcie materiałów i wyrobów na budowę powinno być potwierdzane wpisem do dziennika budowy.</w:t>
      </w:r>
    </w:p>
    <w:p w14:paraId="0564DA1E" w14:textId="77777777" w:rsidR="006E293F" w:rsidRPr="00701FAC" w:rsidRDefault="006E293F" w:rsidP="006E293F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</w:p>
    <w:p w14:paraId="556E06C0" w14:textId="09105338" w:rsidR="00B3062E" w:rsidRPr="00701FAC" w:rsidRDefault="00844D61" w:rsidP="006E293F">
      <w:pPr>
        <w:numPr>
          <w:ilvl w:val="0"/>
          <w:numId w:val="6"/>
        </w:numPr>
        <w:spacing w:after="0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SPRZĘT</w:t>
      </w:r>
    </w:p>
    <w:p w14:paraId="52554629" w14:textId="77777777" w:rsidR="006E293F" w:rsidRPr="00701FAC" w:rsidRDefault="006E293F" w:rsidP="006E293F">
      <w:pPr>
        <w:spacing w:after="0" w:line="259" w:lineRule="auto"/>
        <w:ind w:left="420" w:right="0" w:firstLine="0"/>
        <w:rPr>
          <w:rFonts w:ascii="Arial" w:hAnsi="Arial" w:cs="Arial"/>
          <w:color w:val="auto"/>
          <w:sz w:val="16"/>
          <w:szCs w:val="16"/>
        </w:rPr>
      </w:pPr>
    </w:p>
    <w:p w14:paraId="7905CCEA" w14:textId="1E97BEFD" w:rsidR="00B3062E" w:rsidRPr="00701FAC" w:rsidRDefault="00844D61" w:rsidP="006E293F">
      <w:pPr>
        <w:numPr>
          <w:ilvl w:val="1"/>
          <w:numId w:val="6"/>
        </w:numPr>
        <w:spacing w:after="0" w:line="259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Ogólne wymagania dotyczące sprzętu podano w ST Kod CPV 45000000-7 „Wymagania ogólne”</w:t>
      </w:r>
    </w:p>
    <w:p w14:paraId="3E86BEE3" w14:textId="77777777" w:rsidR="006E293F" w:rsidRPr="00701FAC" w:rsidRDefault="006E293F" w:rsidP="006E293F">
      <w:pPr>
        <w:spacing w:after="0" w:line="259" w:lineRule="auto"/>
        <w:ind w:left="1140" w:right="0" w:firstLine="0"/>
        <w:rPr>
          <w:rFonts w:ascii="Arial" w:hAnsi="Arial" w:cs="Arial"/>
          <w:color w:val="auto"/>
          <w:sz w:val="16"/>
          <w:szCs w:val="16"/>
        </w:rPr>
      </w:pPr>
    </w:p>
    <w:p w14:paraId="6E9323B1" w14:textId="77777777" w:rsidR="00B3062E" w:rsidRPr="00701FAC" w:rsidRDefault="00844D61" w:rsidP="006E293F">
      <w:pPr>
        <w:numPr>
          <w:ilvl w:val="1"/>
          <w:numId w:val="6"/>
        </w:numPr>
        <w:spacing w:after="0" w:line="259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Sprzęt do wykonywania robót</w:t>
      </w:r>
    </w:p>
    <w:p w14:paraId="1DCD32B7" w14:textId="063F57D0" w:rsidR="00B3062E" w:rsidRPr="00701FAC" w:rsidRDefault="00844D61" w:rsidP="006E293F">
      <w:pPr>
        <w:spacing w:after="0"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Roboty można wykonać ręcznie lub przy użyciu innych specjalistycznych narzędzi.</w:t>
      </w:r>
    </w:p>
    <w:p w14:paraId="47186ECD" w14:textId="662E732E" w:rsidR="00693CB2" w:rsidRPr="00701FAC" w:rsidRDefault="006E293F" w:rsidP="00693CB2">
      <w:pPr>
        <w:spacing w:after="0"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3.2.1 </w:t>
      </w:r>
      <w:r w:rsidR="00693CB2" w:rsidRPr="00701FAC">
        <w:rPr>
          <w:rFonts w:ascii="Arial" w:hAnsi="Arial" w:cs="Arial"/>
          <w:color w:val="auto"/>
          <w:sz w:val="16"/>
          <w:szCs w:val="16"/>
        </w:rPr>
        <w:t>Do obróbek blacharskich:</w:t>
      </w:r>
    </w:p>
    <w:p w14:paraId="7EB8B7BA" w14:textId="34D03337" w:rsidR="00693CB2" w:rsidRPr="00701FAC" w:rsidRDefault="00693CB2" w:rsidP="00693CB2">
      <w:pPr>
        <w:spacing w:after="34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- Nożyce do cięcia blachy ewentualnie ręczna piła cyrkulacyjna ze specjalną tarczą do stali lub nożyce wibracyjne do blachy </w:t>
      </w:r>
    </w:p>
    <w:p w14:paraId="0F6D632B" w14:textId="3773CF62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- Urządzenie do gięcia blachy </w:t>
      </w:r>
    </w:p>
    <w:p w14:paraId="70E7C129" w14:textId="7A501E60" w:rsidR="00693CB2" w:rsidRPr="00701FAC" w:rsidRDefault="006E293F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3.2.2 </w:t>
      </w:r>
      <w:r w:rsidR="00693CB2" w:rsidRPr="00701FAC">
        <w:rPr>
          <w:rFonts w:ascii="Arial" w:hAnsi="Arial" w:cs="Arial"/>
          <w:color w:val="auto"/>
          <w:sz w:val="16"/>
          <w:szCs w:val="16"/>
        </w:rPr>
        <w:t>Do wykonywania pokryć:</w:t>
      </w:r>
    </w:p>
    <w:p w14:paraId="3A4F3E4A" w14:textId="77777777" w:rsidR="006E293F" w:rsidRPr="00701FAC" w:rsidRDefault="00693CB2" w:rsidP="00693CB2">
      <w:pPr>
        <w:spacing w:after="34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ręczna zgrzewarka na gorące powietrze</w:t>
      </w:r>
    </w:p>
    <w:p w14:paraId="287E6C18" w14:textId="1971B591" w:rsidR="00693CB2" w:rsidRPr="00701FAC" w:rsidRDefault="006E293F" w:rsidP="00693CB2">
      <w:pPr>
        <w:spacing w:after="34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-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natryskarka</w:t>
      </w:r>
      <w:proofErr w:type="spellEnd"/>
      <w:r w:rsidR="00693CB2" w:rsidRPr="00701FAC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1505A665" w14:textId="165D2BB3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silikonowa rolka dociskowa (szerokość: 40 mm);</w:t>
      </w:r>
    </w:p>
    <w:p w14:paraId="14CD23B8" w14:textId="0F622522" w:rsidR="00693CB2" w:rsidRPr="00701FAC" w:rsidRDefault="00693CB2" w:rsidP="006E293F">
      <w:pPr>
        <w:spacing w:after="34" w:line="240" w:lineRule="auto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szczotka druciana;</w:t>
      </w:r>
    </w:p>
    <w:p w14:paraId="1CE01812" w14:textId="4337382F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mosiężna rolka dociskowa (szerokość: 6 mm);</w:t>
      </w:r>
    </w:p>
    <w:p w14:paraId="5C08364A" w14:textId="38732AB5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nożyce;</w:t>
      </w:r>
    </w:p>
    <w:p w14:paraId="4217A739" w14:textId="353A2E1B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metr lub taśma miernicza;</w:t>
      </w:r>
    </w:p>
    <w:p w14:paraId="20771697" w14:textId="14079F2C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nóż;</w:t>
      </w:r>
    </w:p>
    <w:p w14:paraId="13AA7361" w14:textId="03721AE7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kreda;</w:t>
      </w:r>
    </w:p>
    <w:p w14:paraId="4BB65994" w14:textId="4B7EC112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 sznur do znaczenia</w:t>
      </w:r>
    </w:p>
    <w:p w14:paraId="2341AB0F" w14:textId="7B59A22C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-</w:t>
      </w:r>
      <w:r w:rsidR="006E293F" w:rsidRPr="00701FAC">
        <w:rPr>
          <w:rFonts w:ascii="Arial" w:hAnsi="Arial" w:cs="Arial"/>
          <w:color w:val="auto"/>
          <w:sz w:val="16"/>
          <w:szCs w:val="16"/>
        </w:rPr>
        <w:t xml:space="preserve"> palnik do pap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10DADD98" w14:textId="77777777" w:rsidR="00693CB2" w:rsidRPr="00701FAC" w:rsidRDefault="00693CB2" w:rsidP="00693CB2">
      <w:pPr>
        <w:spacing w:after="34" w:line="240" w:lineRule="auto"/>
        <w:ind w:left="0" w:right="0"/>
        <w:rPr>
          <w:rFonts w:ascii="Arial" w:hAnsi="Arial" w:cs="Arial"/>
          <w:color w:val="auto"/>
          <w:sz w:val="16"/>
          <w:szCs w:val="16"/>
        </w:rPr>
      </w:pPr>
    </w:p>
    <w:p w14:paraId="641F623B" w14:textId="77777777" w:rsidR="00B3062E" w:rsidRPr="00701FAC" w:rsidRDefault="00844D61">
      <w:pPr>
        <w:numPr>
          <w:ilvl w:val="0"/>
          <w:numId w:val="6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TRANSPORT</w:t>
      </w:r>
    </w:p>
    <w:p w14:paraId="230863C7" w14:textId="3C05298A" w:rsidR="00B3062E" w:rsidRPr="00701FAC" w:rsidRDefault="00844D61" w:rsidP="006E293F">
      <w:pPr>
        <w:numPr>
          <w:ilvl w:val="1"/>
          <w:numId w:val="6"/>
        </w:numPr>
        <w:spacing w:after="0" w:line="259" w:lineRule="auto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Ogólne wymagania dotyczące transportu podano w ST Kod CPV 45000000-7 „Wymagania ogólne” </w:t>
      </w:r>
    </w:p>
    <w:p w14:paraId="2D176E66" w14:textId="77777777" w:rsidR="006E293F" w:rsidRPr="00701FAC" w:rsidRDefault="006E293F" w:rsidP="006E293F">
      <w:pPr>
        <w:spacing w:after="0" w:line="259" w:lineRule="auto"/>
        <w:ind w:left="709" w:right="0" w:firstLine="0"/>
        <w:rPr>
          <w:rFonts w:ascii="Arial" w:hAnsi="Arial" w:cs="Arial"/>
          <w:color w:val="auto"/>
          <w:sz w:val="16"/>
          <w:szCs w:val="16"/>
        </w:rPr>
      </w:pPr>
    </w:p>
    <w:p w14:paraId="13E883D1" w14:textId="77777777" w:rsidR="00B3062E" w:rsidRPr="00701FAC" w:rsidRDefault="00844D61" w:rsidP="006E293F">
      <w:pPr>
        <w:numPr>
          <w:ilvl w:val="1"/>
          <w:numId w:val="6"/>
        </w:numPr>
        <w:spacing w:after="64" w:line="259" w:lineRule="auto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Transport materiałów:</w:t>
      </w:r>
    </w:p>
    <w:p w14:paraId="5A159715" w14:textId="77777777" w:rsidR="00B3062E" w:rsidRPr="00701FAC" w:rsidRDefault="00844D61" w:rsidP="004E1884">
      <w:pPr>
        <w:numPr>
          <w:ilvl w:val="2"/>
          <w:numId w:val="6"/>
        </w:numPr>
        <w:ind w:left="709" w:right="0" w:hanging="567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Lepik asfaltowy i materiały wiążące powinny być pakowane, przechowywane i transportowane w sposób wskazany w normach polskich.</w:t>
      </w:r>
    </w:p>
    <w:p w14:paraId="0951D647" w14:textId="77777777" w:rsidR="00B3062E" w:rsidRPr="00701FAC" w:rsidRDefault="00844D61" w:rsidP="004E1884">
      <w:pPr>
        <w:numPr>
          <w:ilvl w:val="2"/>
          <w:numId w:val="6"/>
        </w:numPr>
        <w:ind w:left="709" w:right="0" w:hanging="567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Pakowanie, przechowywanie i transport pap:</w:t>
      </w:r>
    </w:p>
    <w:p w14:paraId="23960683" w14:textId="77777777" w:rsidR="00B3062E" w:rsidRPr="00701FAC" w:rsidRDefault="00844D61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rolki papy powinny być po </w:t>
      </w:r>
      <w:r w:rsidRPr="00701FAC">
        <w:rPr>
          <w:rFonts w:ascii="Arial" w:hAnsi="Arial" w:cs="Arial"/>
          <w:color w:val="auto"/>
          <w:sz w:val="16"/>
          <w:szCs w:val="16"/>
        </w:rPr>
        <w:t>środku owinięte paskiem papieru szerokości co najmniej 20 cm i związane drutem lub sznurkiem grubości co najmniej 0,5 mm;</w:t>
      </w:r>
    </w:p>
    <w:p w14:paraId="4D848337" w14:textId="3C8BBAE5" w:rsidR="00B3062E" w:rsidRPr="00701FAC" w:rsidRDefault="00844D61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na każdej rolce papy powinna być umieszczona nalepka z podstawowymi danymi;</w:t>
      </w:r>
    </w:p>
    <w:p w14:paraId="6FAAB496" w14:textId="38AF6A3F" w:rsidR="00B3062E" w:rsidRPr="00701FAC" w:rsidRDefault="00844D61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rolki papy należy przechowywać w pomieszczeniach krytych, chroniących przed zawilgoceniem i</w:t>
      </w:r>
      <w:r w:rsidR="006E293F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działaniem promieni słonecznych i w odległości co najmniej 120 cm od grzejników;</w:t>
      </w:r>
    </w:p>
    <w:p w14:paraId="4A7382DD" w14:textId="77777777" w:rsidR="004E1884" w:rsidRPr="00701FAC" w:rsidRDefault="00844D61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rolki papy należy układać w stosy (do 1200 szt.) w pozycji stojącej, w jednej warstwie. Odległość między warstwami – 80 cm.</w:t>
      </w:r>
    </w:p>
    <w:p w14:paraId="185DF480" w14:textId="77777777" w:rsidR="004E1884" w:rsidRPr="00701FAC" w:rsidRDefault="004E1884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Rolki papy powinny być odpowiednio zabezpieczone i oznakowane.</w:t>
      </w:r>
    </w:p>
    <w:p w14:paraId="35A1FC51" w14:textId="77777777" w:rsidR="004E1884" w:rsidRPr="00701FAC" w:rsidRDefault="004E1884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lastRenderedPageBreak/>
        <w:t>Na każdej rolce papy powinna być umieszczona nalepka z podstawowymi danymi określonymi w normie lub świadectwie.</w:t>
      </w:r>
    </w:p>
    <w:p w14:paraId="2C84499D" w14:textId="77777777" w:rsidR="004E1884" w:rsidRPr="00701FAC" w:rsidRDefault="004E1884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Rolki papy należy przechowywać w pomieszczeniach krytych, chroniących przed zawilgoceniem i działaniem promieni słonecznych, w odległości co najmniej 120 cm od grzejników</w:t>
      </w:r>
    </w:p>
    <w:p w14:paraId="28C18132" w14:textId="19D95C27" w:rsidR="004E1884" w:rsidRPr="00701FAC" w:rsidRDefault="004E1884" w:rsidP="004E1884">
      <w:pPr>
        <w:numPr>
          <w:ilvl w:val="0"/>
          <w:numId w:val="7"/>
        </w:numPr>
        <w:spacing w:after="0"/>
        <w:ind w:right="0" w:hanging="3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Rolki papy należy układać w stosy (do 1200 szt.) w pozycji stojącej, w jednej warstwie. Odległość między stosami – 80 cm.</w:t>
      </w:r>
    </w:p>
    <w:p w14:paraId="42B11564" w14:textId="59E90504" w:rsidR="004E1884" w:rsidRPr="00701FAC" w:rsidRDefault="004E1884" w:rsidP="004E1884">
      <w:pPr>
        <w:spacing w:after="0"/>
        <w:ind w:left="309" w:right="0" w:firstLine="0"/>
        <w:rPr>
          <w:rFonts w:ascii="Arial" w:hAnsi="Arial" w:cs="Arial"/>
          <w:color w:val="auto"/>
          <w:sz w:val="16"/>
          <w:szCs w:val="16"/>
        </w:rPr>
      </w:pPr>
    </w:p>
    <w:p w14:paraId="22862306" w14:textId="3610DCA5" w:rsidR="004E1884" w:rsidRPr="00701FAC" w:rsidRDefault="004E1884" w:rsidP="004E1884">
      <w:pPr>
        <w:pStyle w:val="Akapitzlist"/>
        <w:numPr>
          <w:ilvl w:val="2"/>
          <w:numId w:val="32"/>
        </w:numPr>
        <w:ind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 Pakowanie i transport membran EPDM</w:t>
      </w:r>
    </w:p>
    <w:p w14:paraId="0EFA5814" w14:textId="136548D9" w:rsidR="004E1884" w:rsidRPr="00701FAC" w:rsidRDefault="004E1884" w:rsidP="004E1884">
      <w:pPr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Rolki transportować w pozycji pionowej, w suchych i chłodnych warunkach (w temperaturze od +5°C do +25°C). Nie wolno układać palet na sobie. Czas składowania wyrobu w oryginalnym opakowaniu wynosi maksymalnie 24 miesiące od daty produkcji.</w:t>
      </w:r>
    </w:p>
    <w:p w14:paraId="2FA86255" w14:textId="77777777" w:rsidR="004E1884" w:rsidRPr="00701FAC" w:rsidRDefault="004E1884" w:rsidP="004E1884">
      <w:pPr>
        <w:ind w:left="0" w:right="0" w:firstLine="0"/>
        <w:rPr>
          <w:rFonts w:ascii="Arial" w:hAnsi="Arial" w:cs="Arial"/>
          <w:color w:val="auto"/>
          <w:sz w:val="16"/>
          <w:szCs w:val="16"/>
        </w:rPr>
      </w:pPr>
    </w:p>
    <w:p w14:paraId="39C4B36A" w14:textId="77777777" w:rsidR="00B3062E" w:rsidRPr="00701FAC" w:rsidRDefault="00844D61">
      <w:pPr>
        <w:numPr>
          <w:ilvl w:val="0"/>
          <w:numId w:val="8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WYKONANIE ROBÓT</w:t>
      </w:r>
    </w:p>
    <w:p w14:paraId="4A23B530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5.1. Wymagania ogólne dla podłoży</w:t>
      </w:r>
    </w:p>
    <w:p w14:paraId="56EACE73" w14:textId="4F821F4F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Podłoża pod pokrycia z papy powinny odpowiadać wymaganiom podanym w PN-80/B-10240, w przypadku zaś podłoży nie ujętych w tej normie, wymaganiom podanym w </w:t>
      </w:r>
      <w:r w:rsidR="004E1884" w:rsidRPr="00701FAC">
        <w:rPr>
          <w:rFonts w:ascii="Arial" w:hAnsi="Arial" w:cs="Arial"/>
          <w:color w:val="auto"/>
          <w:sz w:val="16"/>
          <w:szCs w:val="16"/>
        </w:rPr>
        <w:t>wytycznych producenta</w:t>
      </w:r>
      <w:r w:rsidRPr="00701FAC">
        <w:rPr>
          <w:rFonts w:ascii="Arial" w:hAnsi="Arial" w:cs="Arial"/>
          <w:color w:val="auto"/>
          <w:sz w:val="16"/>
          <w:szCs w:val="16"/>
        </w:rPr>
        <w:t>.</w:t>
      </w:r>
    </w:p>
    <w:p w14:paraId="08FEEDB8" w14:textId="3FED7418" w:rsidR="00B3062E" w:rsidRPr="00701FAC" w:rsidRDefault="00844D61">
      <w:pPr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Powierzchnia podłoża powinna być równa, prześwit pomiędzy powierzchnią podłoża a łatą kontrolną o długości 2 m nie może być większy niż 5 mm. Krawędzie, naroża oraz styki podłoża z pionowymi płaszczyznami elementów ponad</w:t>
      </w:r>
      <w:r w:rsidR="004E1884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dachowych należy zaokrąglić łukiem o promieniu nie mniejszym niż 3 cm lub złagodzić za pomocą odkosu albo listwy o przekroju trójkątnym.</w:t>
      </w:r>
    </w:p>
    <w:p w14:paraId="3A6C7C25" w14:textId="77777777" w:rsidR="004E1884" w:rsidRPr="00701FAC" w:rsidRDefault="00844D61">
      <w:pPr>
        <w:spacing w:after="14" w:line="312" w:lineRule="auto"/>
        <w:ind w:left="-15" w:right="1" w:firstLine="286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Przed murami kominowymi lub innymi elementami wystającymi ponad dach należy – od strony kalenicy – wykonać odboje o górnej krawędzi nachylonej przeciwnie do spadku połaci dachowej. </w:t>
      </w:r>
    </w:p>
    <w:p w14:paraId="36F25A73" w14:textId="4DF7E72D" w:rsidR="00B3062E" w:rsidRPr="00701FAC" w:rsidRDefault="00844D61" w:rsidP="004E1884">
      <w:pPr>
        <w:spacing w:after="14" w:line="312" w:lineRule="auto"/>
        <w:ind w:left="0" w:right="1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  <w:u w:val="single" w:color="000000"/>
        </w:rPr>
        <w:t>Uwaga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Wymagania ogólne – dla wykonania podłoży np.:</w:t>
      </w:r>
    </w:p>
    <w:p w14:paraId="0A84C6DF" w14:textId="77777777" w:rsidR="00B3062E" w:rsidRPr="00701FAC" w:rsidRDefault="00844D61">
      <w:pPr>
        <w:spacing w:after="75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z płyt żelbetowych,</w:t>
      </w:r>
    </w:p>
    <w:p w14:paraId="22CE0B5E" w14:textId="77777777" w:rsidR="00B3062E" w:rsidRPr="00701FAC" w:rsidRDefault="00844D61">
      <w:pPr>
        <w:spacing w:after="75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z płyt styropianowych,</w:t>
      </w:r>
    </w:p>
    <w:p w14:paraId="5596CB05" w14:textId="77777777" w:rsidR="00B3062E" w:rsidRPr="00701FAC" w:rsidRDefault="00844D61">
      <w:pPr>
        <w:spacing w:after="73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z gładzi cementowej,</w:t>
      </w:r>
    </w:p>
    <w:p w14:paraId="14F76FA9" w14:textId="77777777" w:rsidR="00B3062E" w:rsidRPr="00701FAC" w:rsidRDefault="00844D61">
      <w:pPr>
        <w:spacing w:after="78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z płyt twardych z wełny mineralnej,</w:t>
      </w:r>
    </w:p>
    <w:p w14:paraId="73836EFF" w14:textId="77777777" w:rsidR="00B3062E" w:rsidRPr="00701FAC" w:rsidRDefault="00844D61">
      <w:pPr>
        <w:spacing w:after="367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−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z desek oraz dylatacji w podłożach i określeniach wytrzymałości i sztywności podłoża – podane są w </w:t>
      </w:r>
      <w:r w:rsidRPr="00701FAC">
        <w:rPr>
          <w:rFonts w:ascii="Arial" w:hAnsi="Arial" w:cs="Arial"/>
          <w:color w:val="auto"/>
          <w:sz w:val="16"/>
          <w:szCs w:val="16"/>
        </w:rPr>
        <w:t>specyfikacjach technicznych wykonania tych elementów konstrukcyjnych obiektów.</w:t>
      </w:r>
    </w:p>
    <w:p w14:paraId="14462D37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5.2. Pokrycia papami asfaltowymi</w:t>
      </w:r>
    </w:p>
    <w:p w14:paraId="63416521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5.2.1. Pokrycie dwuwarstwowe z papy asfaltowej zgrzewalnej</w:t>
      </w:r>
    </w:p>
    <w:p w14:paraId="5ED18E22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Pokrycie z dwóch warstw papy asfaltowej zgrzewalnej może być wykonywane na połaciach dachowych o pochyleniu zgodnym z podanym w normie PN-B-02361:1999, tzn. od 1% do 20% na podłożu: a) betonowym,</w:t>
      </w:r>
    </w:p>
    <w:p w14:paraId="2846A4D1" w14:textId="77777777" w:rsidR="00B3062E" w:rsidRPr="00701FAC" w:rsidRDefault="00844D61">
      <w:pPr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b) na płycie warstwowej ze styropianu z okleiną z pap asfaltowych; papa stanowiąca okleinę płyt styropianowych nie jest wliczana do liczby warstw pokrycia.</w:t>
      </w:r>
    </w:p>
    <w:p w14:paraId="392DA012" w14:textId="77777777" w:rsidR="00B3062E" w:rsidRPr="00701FAC" w:rsidRDefault="00844D61" w:rsidP="004E1884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Papa asfaltowa zgrzewalna jest przeznaczona do przyklejania do podłoża oraz sklejania dwóch jej warstw metodą zgrzewania, tj. przez podgrzewanie spodniej powierzchni papy płomieniem palnika gazowego do momentu nadtopienia masy powłokowej.</w:t>
      </w:r>
    </w:p>
    <w:p w14:paraId="2662AA95" w14:textId="77777777" w:rsidR="00B3062E" w:rsidRPr="00701FAC" w:rsidRDefault="00844D61" w:rsidP="004E1884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Przy przyklejaniu pap zgrzewalnych za pomocą palnika na gaz propan-butan należy przestrzegać następujących zasad:</w:t>
      </w:r>
    </w:p>
    <w:p w14:paraId="3236DA04" w14:textId="25C54C8D" w:rsidR="00B3062E" w:rsidRPr="00701FAC" w:rsidRDefault="00844D61" w:rsidP="004E1884">
      <w:pPr>
        <w:numPr>
          <w:ilvl w:val="0"/>
          <w:numId w:val="9"/>
        </w:numPr>
        <w:spacing w:after="0"/>
        <w:ind w:right="0" w:hanging="273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palnik powinien być ustawiony w taki sposób, aby jednocześnie podgrzewał podłoże i wstęgę papy od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strony przekładki antyadhezyjnej. Jedynym </w:t>
      </w:r>
      <w:r w:rsidRPr="00701FAC">
        <w:rPr>
          <w:rFonts w:ascii="Arial" w:hAnsi="Arial" w:cs="Arial"/>
          <w:color w:val="auto"/>
          <w:sz w:val="16"/>
          <w:szCs w:val="16"/>
        </w:rPr>
        <w:t>wyjątkiem jest klejenie papy na powierzchni płyty warstwowej z rdzeniem styropianowym, kiedy nie dopuszcza się ogrzewania podłoża,</w:t>
      </w:r>
    </w:p>
    <w:p w14:paraId="7D5694A8" w14:textId="47D732D1" w:rsidR="00B3062E" w:rsidRPr="00701FAC" w:rsidRDefault="00844D61" w:rsidP="004E1884">
      <w:pPr>
        <w:numPr>
          <w:ilvl w:val="0"/>
          <w:numId w:val="9"/>
        </w:numPr>
        <w:spacing w:after="0"/>
        <w:ind w:right="0" w:hanging="273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 celu uniknięcia zniszczenia papy działanie płomienia powinno być krótkotrwałe, a płomień palnika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powinien być ciągle przemieszczany w miarę nadtapiania masy powłokowej,</w:t>
      </w:r>
    </w:p>
    <w:p w14:paraId="7D91DCA0" w14:textId="61E5CC30" w:rsidR="00B3062E" w:rsidRPr="00701FAC" w:rsidRDefault="00844D61" w:rsidP="004E1884">
      <w:pPr>
        <w:numPr>
          <w:ilvl w:val="0"/>
          <w:numId w:val="9"/>
        </w:numPr>
        <w:spacing w:after="0"/>
        <w:ind w:right="0" w:hanging="273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niedopuszczalne jest miejscowe nagrzewanie papy, prowadzące do nadmiernego spływu masy asfaltowej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lub jej zapalenia,</w:t>
      </w:r>
    </w:p>
    <w:p w14:paraId="5FC9E008" w14:textId="6EFC58C1" w:rsidR="00B3062E" w:rsidRPr="00701FAC" w:rsidRDefault="00844D61" w:rsidP="004E1884">
      <w:pPr>
        <w:numPr>
          <w:ilvl w:val="0"/>
          <w:numId w:val="9"/>
        </w:numPr>
        <w:spacing w:after="0"/>
        <w:ind w:right="0" w:hanging="273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fragment wstęgi papy z nadtopioną powłoką asfaltową należy natychmiast docisnąć do ogrzewanego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podłoża wałkiem o długości równej szerokości pasma papy.</w:t>
      </w:r>
    </w:p>
    <w:p w14:paraId="4859AFC8" w14:textId="6C65F490" w:rsidR="004E1884" w:rsidRPr="00701FAC" w:rsidRDefault="004E1884" w:rsidP="004E1884">
      <w:pPr>
        <w:spacing w:after="0"/>
        <w:ind w:left="273" w:right="0" w:firstLine="0"/>
        <w:rPr>
          <w:rFonts w:ascii="Arial" w:hAnsi="Arial" w:cs="Arial"/>
          <w:color w:val="auto"/>
          <w:sz w:val="16"/>
          <w:szCs w:val="16"/>
        </w:rPr>
      </w:pPr>
    </w:p>
    <w:p w14:paraId="5EA48120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5.3. </w:t>
      </w: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Powłoki </w:t>
      </w:r>
      <w:proofErr w:type="spellStart"/>
      <w:r w:rsidRPr="00701FAC">
        <w:rPr>
          <w:rFonts w:ascii="Arial" w:hAnsi="Arial" w:cs="Arial"/>
          <w:b/>
          <w:bCs/>
          <w:color w:val="auto"/>
          <w:sz w:val="16"/>
          <w:szCs w:val="16"/>
        </w:rPr>
        <w:t>bezspoinowe</w:t>
      </w:r>
      <w:proofErr w:type="spellEnd"/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 z mas asfaltowych i asfaltowo-polimerowych</w:t>
      </w:r>
    </w:p>
    <w:p w14:paraId="67FA89E1" w14:textId="77777777" w:rsidR="00B3062E" w:rsidRPr="00701FAC" w:rsidRDefault="00844D61">
      <w:pPr>
        <w:numPr>
          <w:ilvl w:val="2"/>
          <w:numId w:val="10"/>
        </w:numPr>
        <w:ind w:right="0" w:hanging="50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Powłoki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bezspoinowe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 należy wykonywać zgodnie z normą PN-80/B-10240 w celu zabezpieczenia powierzchni pokrycia przed starzeniem atmosferycznym.</w:t>
      </w:r>
    </w:p>
    <w:p w14:paraId="1188741A" w14:textId="77777777" w:rsidR="00B3062E" w:rsidRPr="00701FAC" w:rsidRDefault="00844D61">
      <w:pPr>
        <w:numPr>
          <w:ilvl w:val="2"/>
          <w:numId w:val="10"/>
        </w:numPr>
        <w:ind w:right="0" w:hanging="50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Powłoki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bezspoinowe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 wykonuje się z mas asfaltowych i asfaltowo-polimerowych:</w:t>
      </w:r>
    </w:p>
    <w:p w14:paraId="3ADACA7C" w14:textId="77777777" w:rsidR="00B3062E" w:rsidRPr="00701FAC" w:rsidRDefault="00844D61">
      <w:pPr>
        <w:numPr>
          <w:ilvl w:val="0"/>
          <w:numId w:val="11"/>
        </w:numPr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na trzech lub dwóch warstwach pap asfaltowych układanych na podłożu betonowym, na dachach o pochyleniu połaci od 1% do 20%,</w:t>
      </w:r>
    </w:p>
    <w:p w14:paraId="7696C3FF" w14:textId="77777777" w:rsidR="00B3062E" w:rsidRPr="00701FAC" w:rsidRDefault="00844D61">
      <w:pPr>
        <w:numPr>
          <w:ilvl w:val="0"/>
          <w:numId w:val="11"/>
        </w:numPr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na trzech warstwach pap asfaltowych układanych na izolacji termicznej, na dachach o pochyleniu połaci od 3% do 20%,</w:t>
      </w:r>
    </w:p>
    <w:p w14:paraId="10E9FC62" w14:textId="77777777" w:rsidR="00B3062E" w:rsidRPr="00701FAC" w:rsidRDefault="00844D61">
      <w:pPr>
        <w:numPr>
          <w:ilvl w:val="0"/>
          <w:numId w:val="11"/>
        </w:numPr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na trzech warstwach pap asfaltowych układanych na podłożu drewnianym, na dachach o pochyleniu połaci od 2% do 20%.</w:t>
      </w:r>
    </w:p>
    <w:p w14:paraId="7B84010F" w14:textId="28642A30" w:rsidR="00B3062E" w:rsidRPr="00701FAC" w:rsidRDefault="00844D61" w:rsidP="0021318A">
      <w:pPr>
        <w:spacing w:after="0"/>
        <w:ind w:left="405"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5.3.3. Powłoki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bezspoinowe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 układane na starym, użytkowym pokryciu papowym, regeneruje jedynie powierzchnię masy powłokowej wierzchniej warstwy pokrycia, nie stanowią zaś zabezpieczenia przed przenikaniem wód opadowych pod pokrycie w przypadku występowania uszkodzeń mechanicznych związanych z przerwaniem ciągłości pokrycia papowego.</w:t>
      </w:r>
    </w:p>
    <w:p w14:paraId="66DB6AFD" w14:textId="056249A0" w:rsidR="0021318A" w:rsidRPr="00701FAC" w:rsidRDefault="0021318A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</w:p>
    <w:p w14:paraId="26AF2DF5" w14:textId="2982D7A3" w:rsidR="007538B6" w:rsidRPr="00701FAC" w:rsidRDefault="007538B6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</w:p>
    <w:p w14:paraId="1B975492" w14:textId="77777777" w:rsidR="007538B6" w:rsidRPr="00701FAC" w:rsidRDefault="007538B6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</w:p>
    <w:p w14:paraId="1EFE01DA" w14:textId="3D053726" w:rsidR="00DD2561" w:rsidRPr="00701FAC" w:rsidRDefault="00DD2561" w:rsidP="007538B6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Pokrycia membraną EPDM</w:t>
      </w:r>
    </w:p>
    <w:p w14:paraId="7EE0A678" w14:textId="7C09045B" w:rsidR="007538B6" w:rsidRPr="00701FAC" w:rsidRDefault="007538B6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5.4.1 Wymagania dla podłoża </w:t>
      </w:r>
    </w:p>
    <w:p w14:paraId="3D67F0E9" w14:textId="77777777" w:rsidR="007538B6" w:rsidRPr="00701FAC" w:rsidRDefault="0021318A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Podłoże musi być równe, wolne od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napr</w:t>
      </w:r>
      <w:r w:rsidR="007538B6" w:rsidRPr="00701FAC">
        <w:rPr>
          <w:rFonts w:ascii="Arial" w:hAnsi="Arial" w:cs="Arial"/>
          <w:color w:val="auto"/>
          <w:sz w:val="16"/>
          <w:szCs w:val="16"/>
        </w:rPr>
        <w:t>ę</w:t>
      </w:r>
      <w:r w:rsidRPr="00701FAC">
        <w:rPr>
          <w:rFonts w:ascii="Arial" w:hAnsi="Arial" w:cs="Arial"/>
          <w:color w:val="auto"/>
          <w:sz w:val="16"/>
          <w:szCs w:val="16"/>
        </w:rPr>
        <w:t>żeń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, pęcherzy, fałd, ostrych krawędzi, zadziorów, chropowatości, uszkodzonych szczelin itp. W przypadku obróbki montażowej przy użyciu kleju podłoże musi być dodatkowo suche i niezamarznięte. </w:t>
      </w:r>
    </w:p>
    <w:p w14:paraId="143AB7C9" w14:textId="77777777" w:rsidR="007538B6" w:rsidRPr="00701FAC" w:rsidRDefault="0021318A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Zakładka membrany powinna wynosić co najmniej 50 mm. Na  nielaminowanych twardych piankach polistyrenowych z włókniną lub bez zakładka wynosi 80 mm. Szerokość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zgrzewu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 musi wynosić co najmniej 40 mm. W związku z tym zaleceniem należy stosować dyszę o szerokości 40 mm. Wymagane jest dodatkowe mocowanie krawędzi i połaci przed pionowymi obróbkami za pomocą pojedynczych łączników przy: </w:t>
      </w:r>
    </w:p>
    <w:p w14:paraId="18203D8C" w14:textId="77777777" w:rsidR="007538B6" w:rsidRPr="00701FAC" w:rsidRDefault="0021318A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Warstwie nośnej z blach trapezowych </w:t>
      </w:r>
    </w:p>
    <w:p w14:paraId="36F5F640" w14:textId="77777777" w:rsidR="007538B6" w:rsidRPr="00701FAC" w:rsidRDefault="0021318A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Termoizolacji z EPS </w:t>
      </w:r>
    </w:p>
    <w:p w14:paraId="102C4659" w14:textId="77777777" w:rsidR="007538B6" w:rsidRPr="00701FAC" w:rsidRDefault="0021318A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Luźno wyprowadzonych przyłączach i zakończeniach </w:t>
      </w:r>
    </w:p>
    <w:p w14:paraId="28F02814" w14:textId="77777777" w:rsidR="007538B6" w:rsidRPr="00701FAC" w:rsidRDefault="007538B6" w:rsidP="007538B6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</w:p>
    <w:p w14:paraId="6CA70C9B" w14:textId="78D0F21D" w:rsidR="0021318A" w:rsidRPr="00701FAC" w:rsidRDefault="00844D61" w:rsidP="005A4804">
      <w:pPr>
        <w:spacing w:after="0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5.</w:t>
      </w:r>
      <w:r w:rsidR="007538B6" w:rsidRPr="00701FAC">
        <w:rPr>
          <w:rFonts w:ascii="Arial" w:hAnsi="Arial" w:cs="Arial"/>
          <w:b/>
          <w:bCs/>
          <w:color w:val="auto"/>
          <w:sz w:val="16"/>
          <w:szCs w:val="16"/>
        </w:rPr>
        <w:t>5</w:t>
      </w:r>
      <w:r w:rsidRPr="00701FAC">
        <w:rPr>
          <w:rFonts w:ascii="Arial" w:hAnsi="Arial" w:cs="Arial"/>
          <w:b/>
          <w:bCs/>
          <w:color w:val="auto"/>
          <w:sz w:val="16"/>
          <w:szCs w:val="16"/>
        </w:rPr>
        <w:t>. Obróbki blacharskie</w:t>
      </w:r>
    </w:p>
    <w:p w14:paraId="471329C7" w14:textId="77777777" w:rsidR="005A4804" w:rsidRPr="00701FAC" w:rsidRDefault="005A4804" w:rsidP="005A4804">
      <w:pPr>
        <w:pStyle w:val="Akapitzlist"/>
        <w:numPr>
          <w:ilvl w:val="0"/>
          <w:numId w:val="12"/>
        </w:numPr>
        <w:ind w:right="0" w:hanging="504"/>
        <w:contextualSpacing w:val="0"/>
        <w:rPr>
          <w:rFonts w:ascii="Arial" w:hAnsi="Arial" w:cs="Arial"/>
          <w:vanish/>
          <w:color w:val="auto"/>
          <w:sz w:val="16"/>
          <w:szCs w:val="16"/>
        </w:rPr>
      </w:pPr>
    </w:p>
    <w:p w14:paraId="5C67349F" w14:textId="77777777" w:rsidR="005A4804" w:rsidRPr="00701FAC" w:rsidRDefault="005A4804" w:rsidP="005A4804">
      <w:pPr>
        <w:pStyle w:val="Akapitzlist"/>
        <w:numPr>
          <w:ilvl w:val="1"/>
          <w:numId w:val="12"/>
        </w:numPr>
        <w:ind w:right="0" w:hanging="504"/>
        <w:contextualSpacing w:val="0"/>
        <w:rPr>
          <w:rFonts w:ascii="Arial" w:hAnsi="Arial" w:cs="Arial"/>
          <w:vanish/>
          <w:color w:val="auto"/>
          <w:sz w:val="16"/>
          <w:szCs w:val="16"/>
        </w:rPr>
      </w:pPr>
    </w:p>
    <w:p w14:paraId="6F70289C" w14:textId="49E07C0A" w:rsidR="005A4804" w:rsidRPr="00701FAC" w:rsidRDefault="00844D61" w:rsidP="005A4804">
      <w:pPr>
        <w:pStyle w:val="Akapitzlist"/>
        <w:numPr>
          <w:ilvl w:val="2"/>
          <w:numId w:val="35"/>
        </w:num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Obróbki blacharskie powinny być dostosowane do </w:t>
      </w:r>
      <w:r w:rsidRPr="00701FAC">
        <w:rPr>
          <w:rFonts w:ascii="Arial" w:hAnsi="Arial" w:cs="Arial"/>
          <w:color w:val="auto"/>
          <w:sz w:val="16"/>
          <w:szCs w:val="16"/>
        </w:rPr>
        <w:t>rodzaju pokrycia.</w:t>
      </w:r>
    </w:p>
    <w:p w14:paraId="7123F731" w14:textId="77777777" w:rsidR="005A4804" w:rsidRPr="00701FAC" w:rsidRDefault="005A4804" w:rsidP="005A4804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5.5.2 Obróbki blacharskie z blachy stalowej i stalowej ocynkowanej o grubości od 0,5 mm do 0,6 mm można wykonywać o każdej porze roku, lecz w temperaturze nie niższej od –15°C. Robót nie można wykonywać na oblodzonych podłożach</w:t>
      </w:r>
      <w:r w:rsidR="004E1884" w:rsidRPr="00701FAC">
        <w:rPr>
          <w:rFonts w:ascii="Arial" w:hAnsi="Arial" w:cs="Arial"/>
          <w:color w:val="auto"/>
          <w:sz w:val="16"/>
          <w:szCs w:val="16"/>
        </w:rPr>
        <w:t>.</w:t>
      </w:r>
    </w:p>
    <w:p w14:paraId="67957765" w14:textId="060A65B4" w:rsidR="00B3062E" w:rsidRPr="00701FAC" w:rsidRDefault="005A4804" w:rsidP="005A4804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5.5.3 Przy wykonywaniu obróbek blacharskich należy pamiętać o konieczności zachowania dylatacji. Dylatacje konstrukcyjne powinny być zabezpieczone w sposób umożliwiający przeniesienie ruchów poziomych i pionowych dachu w taki sposób, aby następował szybki odpływ wody z obszaru dylatacji.</w:t>
      </w:r>
    </w:p>
    <w:p w14:paraId="1AF75285" w14:textId="77777777" w:rsidR="0021318A" w:rsidRPr="00701FAC" w:rsidRDefault="0021318A" w:rsidP="0021318A">
      <w:pPr>
        <w:spacing w:after="0"/>
        <w:ind w:left="567" w:right="0" w:firstLine="0"/>
        <w:rPr>
          <w:rFonts w:ascii="Arial" w:hAnsi="Arial" w:cs="Arial"/>
          <w:color w:val="auto"/>
          <w:sz w:val="16"/>
          <w:szCs w:val="16"/>
        </w:rPr>
      </w:pPr>
    </w:p>
    <w:p w14:paraId="6C12465D" w14:textId="1BED826F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5.</w:t>
      </w:r>
      <w:r w:rsidR="007538B6" w:rsidRPr="00701FAC">
        <w:rPr>
          <w:rFonts w:ascii="Arial" w:hAnsi="Arial" w:cs="Arial"/>
          <w:b/>
          <w:bCs/>
          <w:color w:val="auto"/>
          <w:sz w:val="16"/>
          <w:szCs w:val="16"/>
        </w:rPr>
        <w:t>6</w:t>
      </w:r>
      <w:r w:rsidRPr="00701FAC">
        <w:rPr>
          <w:rFonts w:ascii="Arial" w:hAnsi="Arial" w:cs="Arial"/>
          <w:b/>
          <w:bCs/>
          <w:color w:val="auto"/>
          <w:sz w:val="16"/>
          <w:szCs w:val="16"/>
        </w:rPr>
        <w:t>. Urządzenia do odprowadzania wód opadowych</w:t>
      </w:r>
    </w:p>
    <w:p w14:paraId="29613C47" w14:textId="77777777" w:rsidR="005A4804" w:rsidRPr="00701FAC" w:rsidRDefault="005A4804" w:rsidP="005A4804">
      <w:pPr>
        <w:pStyle w:val="Akapitzlist"/>
        <w:numPr>
          <w:ilvl w:val="0"/>
          <w:numId w:val="13"/>
        </w:numPr>
        <w:ind w:right="0" w:hanging="504"/>
        <w:contextualSpacing w:val="0"/>
        <w:rPr>
          <w:rFonts w:ascii="Arial" w:hAnsi="Arial" w:cs="Arial"/>
          <w:vanish/>
          <w:color w:val="auto"/>
          <w:sz w:val="16"/>
          <w:szCs w:val="16"/>
        </w:rPr>
      </w:pPr>
    </w:p>
    <w:p w14:paraId="79BA3F34" w14:textId="77777777" w:rsidR="005A4804" w:rsidRPr="00701FAC" w:rsidRDefault="005A4804" w:rsidP="005A4804">
      <w:pPr>
        <w:pStyle w:val="Akapitzlist"/>
        <w:numPr>
          <w:ilvl w:val="1"/>
          <w:numId w:val="13"/>
        </w:numPr>
        <w:ind w:right="0" w:hanging="504"/>
        <w:contextualSpacing w:val="0"/>
        <w:rPr>
          <w:rFonts w:ascii="Arial" w:hAnsi="Arial" w:cs="Arial"/>
          <w:vanish/>
          <w:color w:val="auto"/>
          <w:sz w:val="16"/>
          <w:szCs w:val="16"/>
        </w:rPr>
      </w:pPr>
    </w:p>
    <w:p w14:paraId="14225479" w14:textId="7B5590A8" w:rsidR="00B3062E" w:rsidRPr="00701FAC" w:rsidRDefault="005A4804" w:rsidP="005A4804">
      <w:pPr>
        <w:pStyle w:val="Akapitzlist"/>
        <w:numPr>
          <w:ilvl w:val="2"/>
          <w:numId w:val="36"/>
        </w:numPr>
        <w:tabs>
          <w:tab w:val="left" w:pos="567"/>
        </w:tabs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 W dachach (stropodachach) z odwodnieniem zewnętrznym w warstwach 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przekrycia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 xml:space="preserve"> powinny być osadzone uchwyty rynnowe (</w:t>
      </w:r>
      <w:proofErr w:type="spellStart"/>
      <w:r w:rsidRPr="00701FAC">
        <w:rPr>
          <w:rFonts w:ascii="Arial" w:hAnsi="Arial" w:cs="Arial"/>
          <w:color w:val="auto"/>
          <w:sz w:val="16"/>
          <w:szCs w:val="16"/>
        </w:rPr>
        <w:t>rynhaki</w:t>
      </w:r>
      <w:proofErr w:type="spellEnd"/>
      <w:r w:rsidRPr="00701FAC">
        <w:rPr>
          <w:rFonts w:ascii="Arial" w:hAnsi="Arial" w:cs="Arial"/>
          <w:color w:val="auto"/>
          <w:sz w:val="16"/>
          <w:szCs w:val="16"/>
        </w:rPr>
        <w:t>) o wyregulowanym spadku podłużnym.</w:t>
      </w:r>
    </w:p>
    <w:p w14:paraId="040F7503" w14:textId="4B10962B" w:rsidR="00B3062E" w:rsidRPr="00701FAC" w:rsidRDefault="005A4804" w:rsidP="005A4804">
      <w:pPr>
        <w:ind w:left="0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5.6.2 Spadki koryt dachowych nie powinny być mniejsze niż 1,5%, a rozstaw rur spustowych nie powinien przekraczać 25,0 m.</w:t>
      </w:r>
    </w:p>
    <w:p w14:paraId="64373794" w14:textId="08A598B8" w:rsidR="0021318A" w:rsidRPr="00701FAC" w:rsidRDefault="005A4804" w:rsidP="005A4804">
      <w:pPr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5.6.3 Przekroje poprzeczne rynien dachowych, rur spustowych i wpustów dachowych powinny być dostosowane do wielkości odwadnianych powierzchni dachu (stropodachu).</w:t>
      </w:r>
    </w:p>
    <w:p w14:paraId="44F1EFCA" w14:textId="58BE64CE" w:rsidR="00B3062E" w:rsidRPr="00701FAC" w:rsidRDefault="005A4804" w:rsidP="005A4804">
      <w:pPr>
        <w:ind w:left="0" w:right="0" w:firstLine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5.6.4 Rynny z blachy stalowej ocynkowanej powinny być:</w:t>
      </w:r>
    </w:p>
    <w:p w14:paraId="1088FD64" w14:textId="77777777" w:rsidR="00B3062E" w:rsidRPr="00701FAC" w:rsidRDefault="00844D61" w:rsidP="0021318A">
      <w:pPr>
        <w:numPr>
          <w:ilvl w:val="0"/>
          <w:numId w:val="14"/>
        </w:numPr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wykonane z pojedynczych członów odpowiadających długości arkusza blachy i składany w elementy wieloczłonowe,</w:t>
      </w:r>
    </w:p>
    <w:p w14:paraId="726D931B" w14:textId="77777777" w:rsidR="00B3062E" w:rsidRPr="00701FAC" w:rsidRDefault="00844D61" w:rsidP="0021318A">
      <w:pPr>
        <w:numPr>
          <w:ilvl w:val="0"/>
          <w:numId w:val="14"/>
        </w:numPr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łączone w złączach poziomych na zakład szerokości 40 mm; złącza powinny być lutowane na całej długości,</w:t>
      </w:r>
    </w:p>
    <w:p w14:paraId="70B17255" w14:textId="77777777" w:rsidR="00B3062E" w:rsidRPr="00701FAC" w:rsidRDefault="00844D61" w:rsidP="0021318A">
      <w:pPr>
        <w:numPr>
          <w:ilvl w:val="0"/>
          <w:numId w:val="14"/>
        </w:numPr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mocowane do uchwytów, rozstawionych w odstępach nie większych niż 50 cm,</w:t>
      </w:r>
    </w:p>
    <w:p w14:paraId="627C2D13" w14:textId="77777777" w:rsidR="00B3062E" w:rsidRPr="00701FAC" w:rsidRDefault="00844D61" w:rsidP="0021318A">
      <w:pPr>
        <w:numPr>
          <w:ilvl w:val="0"/>
          <w:numId w:val="14"/>
        </w:numPr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rynny powinny mieć wlutowane wpusty do rur spustowych.</w:t>
      </w:r>
    </w:p>
    <w:p w14:paraId="50DA1807" w14:textId="4990D5AD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5.</w:t>
      </w:r>
      <w:r w:rsidR="005A4804" w:rsidRPr="00701FAC">
        <w:rPr>
          <w:rFonts w:ascii="Arial" w:hAnsi="Arial" w:cs="Arial"/>
          <w:color w:val="auto"/>
          <w:sz w:val="16"/>
          <w:szCs w:val="16"/>
        </w:rPr>
        <w:t>6</w:t>
      </w:r>
      <w:r w:rsidRPr="00701FAC">
        <w:rPr>
          <w:rFonts w:ascii="Arial" w:hAnsi="Arial" w:cs="Arial"/>
          <w:color w:val="auto"/>
          <w:sz w:val="16"/>
          <w:szCs w:val="16"/>
        </w:rPr>
        <w:t>.5</w:t>
      </w:r>
      <w:r w:rsidR="005A4804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Rury spustowe z blachy stalowej ocynkowanej powinny być:</w:t>
      </w:r>
    </w:p>
    <w:p w14:paraId="59D8B47C" w14:textId="77777777" w:rsidR="00B3062E" w:rsidRPr="00701FAC" w:rsidRDefault="00844D61" w:rsidP="0021318A">
      <w:pPr>
        <w:numPr>
          <w:ilvl w:val="0"/>
          <w:numId w:val="15"/>
        </w:numPr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wykonane z pojedynczych członów </w:t>
      </w:r>
      <w:r w:rsidRPr="00701FAC">
        <w:rPr>
          <w:rFonts w:ascii="Arial" w:hAnsi="Arial" w:cs="Arial"/>
          <w:color w:val="auto"/>
          <w:sz w:val="16"/>
          <w:szCs w:val="16"/>
        </w:rPr>
        <w:t>odpowiadających długości arkusza blachy i składane w elementy wieloczłonowe,</w:t>
      </w:r>
    </w:p>
    <w:p w14:paraId="6990E11F" w14:textId="77777777" w:rsidR="00B3062E" w:rsidRPr="00701FAC" w:rsidRDefault="00844D61" w:rsidP="0021318A">
      <w:pPr>
        <w:numPr>
          <w:ilvl w:val="0"/>
          <w:numId w:val="15"/>
        </w:numPr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łączone w złączach pionowych na rąbek pojedynczy leżący, a w złączach poziomych na zakład szerokości 40 mm; złącza powinny być lutowane na całej długości,</w:t>
      </w:r>
    </w:p>
    <w:p w14:paraId="76194790" w14:textId="77777777" w:rsidR="00B3062E" w:rsidRPr="00701FAC" w:rsidRDefault="00844D61" w:rsidP="0021318A">
      <w:pPr>
        <w:numPr>
          <w:ilvl w:val="0"/>
          <w:numId w:val="15"/>
        </w:numPr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mocowane do ścian uchwytami, rozstawionymi w odstępach nie większych niż 3 m w sposób trwały przez wbicie trzpienia w spoiny muru lub osadzenie w zaprawie cementowej w wykutych gniazdach,</w:t>
      </w:r>
    </w:p>
    <w:p w14:paraId="42DB4F55" w14:textId="2D8EECC3" w:rsidR="00B3062E" w:rsidRPr="00701FAC" w:rsidRDefault="00844D61" w:rsidP="0021318A">
      <w:pPr>
        <w:numPr>
          <w:ilvl w:val="0"/>
          <w:numId w:val="15"/>
        </w:numPr>
        <w:spacing w:after="0"/>
        <w:ind w:right="0" w:hanging="278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rury spustowe odprowadzające wodę do kanalizacji powinny być wpuszczone do rury żeliwnej na głębokość kielicha.</w:t>
      </w:r>
    </w:p>
    <w:p w14:paraId="5F1DB3C7" w14:textId="77777777" w:rsidR="0021318A" w:rsidRPr="00701FAC" w:rsidRDefault="0021318A" w:rsidP="0021318A">
      <w:pPr>
        <w:spacing w:after="0"/>
        <w:ind w:left="420" w:right="0" w:firstLine="0"/>
        <w:rPr>
          <w:rFonts w:ascii="Arial" w:hAnsi="Arial" w:cs="Arial"/>
          <w:color w:val="auto"/>
          <w:sz w:val="16"/>
          <w:szCs w:val="16"/>
        </w:rPr>
      </w:pPr>
    </w:p>
    <w:p w14:paraId="727F38A2" w14:textId="77777777" w:rsidR="00B3062E" w:rsidRPr="00701FAC" w:rsidRDefault="00844D61">
      <w:pPr>
        <w:numPr>
          <w:ilvl w:val="0"/>
          <w:numId w:val="16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15AC8701" w14:textId="59B26FB6" w:rsidR="00B3062E" w:rsidRPr="00701FAC" w:rsidRDefault="00844D61" w:rsidP="005A4804">
      <w:pPr>
        <w:numPr>
          <w:ilvl w:val="1"/>
          <w:numId w:val="16"/>
        </w:numPr>
        <w:spacing w:after="0" w:line="259" w:lineRule="auto"/>
        <w:ind w:left="426" w:right="0" w:hanging="42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Kontrola jakości robót polega na sprawdzeniu zgodności ich wykonania z wymaganiami niniejszej specyfikacji</w:t>
      </w:r>
    </w:p>
    <w:p w14:paraId="2D747D99" w14:textId="77777777" w:rsidR="0072127D" w:rsidRPr="00701FAC" w:rsidRDefault="0072127D" w:rsidP="0072127D">
      <w:pPr>
        <w:spacing w:after="0" w:line="259" w:lineRule="auto"/>
        <w:ind w:left="426" w:right="0" w:firstLine="0"/>
        <w:rPr>
          <w:rFonts w:ascii="Arial" w:hAnsi="Arial" w:cs="Arial"/>
          <w:color w:val="auto"/>
          <w:sz w:val="16"/>
          <w:szCs w:val="16"/>
        </w:rPr>
      </w:pPr>
    </w:p>
    <w:p w14:paraId="16C3F76D" w14:textId="10389D53" w:rsidR="00B3062E" w:rsidRPr="00701FAC" w:rsidRDefault="00844D61" w:rsidP="005A4804">
      <w:pPr>
        <w:numPr>
          <w:ilvl w:val="1"/>
          <w:numId w:val="16"/>
        </w:numPr>
        <w:spacing w:after="0" w:line="259" w:lineRule="auto"/>
        <w:ind w:left="426" w:right="0" w:hanging="42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Kontrola wykonania podkładów pod pokrycia z blachy powinna być przeprowadzona przez Inspektora </w:t>
      </w:r>
      <w:r w:rsidRPr="00701FAC">
        <w:rPr>
          <w:rFonts w:ascii="Arial" w:hAnsi="Arial" w:cs="Arial"/>
          <w:color w:val="auto"/>
          <w:sz w:val="16"/>
          <w:szCs w:val="16"/>
        </w:rPr>
        <w:t>nadzoru przed przystąpieniem do wykonania pokryć zgodnie z wymaganiami normy PN-80/B-10240 p. 4.3.2.</w:t>
      </w:r>
    </w:p>
    <w:p w14:paraId="66F82BBA" w14:textId="77777777" w:rsidR="0072127D" w:rsidRPr="00701FAC" w:rsidRDefault="0072127D" w:rsidP="0072127D">
      <w:pPr>
        <w:spacing w:after="0" w:line="259" w:lineRule="auto"/>
        <w:ind w:left="426" w:right="0" w:firstLine="0"/>
        <w:rPr>
          <w:rFonts w:ascii="Arial" w:hAnsi="Arial" w:cs="Arial"/>
          <w:color w:val="auto"/>
          <w:sz w:val="16"/>
          <w:szCs w:val="16"/>
        </w:rPr>
      </w:pPr>
    </w:p>
    <w:p w14:paraId="76F7BDB4" w14:textId="77777777" w:rsidR="00B3062E" w:rsidRPr="00701FAC" w:rsidRDefault="00844D61" w:rsidP="005A4804">
      <w:pPr>
        <w:numPr>
          <w:ilvl w:val="1"/>
          <w:numId w:val="16"/>
        </w:numPr>
        <w:spacing w:after="0" w:line="259" w:lineRule="auto"/>
        <w:ind w:left="426" w:right="0" w:hanging="42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Kontrola wykonania pokryć</w:t>
      </w:r>
    </w:p>
    <w:p w14:paraId="19358992" w14:textId="77777777" w:rsidR="00B3062E" w:rsidRPr="00701FAC" w:rsidRDefault="00844D61">
      <w:pPr>
        <w:ind w:left="405"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6.3.1. Kontrola wykonania pokryć polega na sprawdzeniu zgodności ich wykonania z powołanymi normami przedmiotowymi i wymaganiami specyfikacji. Kontrola ta przeprowadzana jest przez Inspektora nadzoru:</w:t>
      </w:r>
    </w:p>
    <w:p w14:paraId="35EB5E29" w14:textId="1D1681C9" w:rsidR="00B3062E" w:rsidRPr="00701FAC" w:rsidRDefault="00844D61">
      <w:pPr>
        <w:numPr>
          <w:ilvl w:val="0"/>
          <w:numId w:val="17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 odniesieniu do prac zanikających (kontrola międzyoperacyjna) – podczas wykonania prac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pokrywczych,</w:t>
      </w:r>
    </w:p>
    <w:p w14:paraId="2188269C" w14:textId="77777777" w:rsidR="00B3062E" w:rsidRPr="00701FAC" w:rsidRDefault="00844D61">
      <w:pPr>
        <w:numPr>
          <w:ilvl w:val="0"/>
          <w:numId w:val="17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w odniesieniu do właściwości całego pokrycia (kontrola końcowa) – po </w:t>
      </w:r>
      <w:r w:rsidRPr="00701FAC">
        <w:rPr>
          <w:rFonts w:ascii="Arial" w:hAnsi="Arial" w:cs="Arial"/>
          <w:color w:val="auto"/>
          <w:sz w:val="16"/>
          <w:szCs w:val="16"/>
        </w:rPr>
        <w:t>zakończeniu prac pokrywczych.</w:t>
      </w:r>
    </w:p>
    <w:p w14:paraId="7F3DEEBB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6.3.2. Pokrycia papowe</w:t>
      </w:r>
    </w:p>
    <w:p w14:paraId="05FC87C1" w14:textId="6903204F" w:rsidR="00B3062E" w:rsidRPr="00701FAC" w:rsidRDefault="00844D61">
      <w:pPr>
        <w:numPr>
          <w:ilvl w:val="0"/>
          <w:numId w:val="18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Kontrola międzyoperacyjna pokryć papowych polega na bieżącym sprawdzeniu zgodności wykonanych</w:t>
      </w:r>
      <w:r w:rsidR="0072127D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prac z wymaganiami niniejszej specyfikacji technicznej.</w:t>
      </w:r>
    </w:p>
    <w:p w14:paraId="43F0A87E" w14:textId="37FB6CB6" w:rsidR="00B3062E" w:rsidRPr="00701FAC" w:rsidRDefault="00844D61">
      <w:pPr>
        <w:numPr>
          <w:ilvl w:val="0"/>
          <w:numId w:val="18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Kontrola końcowa wykonania pokryć papowych polega na sprawdzaniu zgodności wykonania z</w:t>
      </w:r>
      <w:r w:rsidR="0072127D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projektem oraz wymaganiami specyfikacji. Kontrolę przeprowadza się w sposób podany w normie PN-98 /B-10240 pkt 4.</w:t>
      </w:r>
    </w:p>
    <w:p w14:paraId="027CB827" w14:textId="43865F2E" w:rsidR="00B3062E" w:rsidRPr="00701FAC" w:rsidRDefault="00844D61">
      <w:pPr>
        <w:numPr>
          <w:ilvl w:val="0"/>
          <w:numId w:val="18"/>
        </w:numPr>
        <w:spacing w:after="334"/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Uznaje się, że badania dały wynik pozytywny gdy wszystkie właściwości materiałów i pokrycia</w:t>
      </w:r>
      <w:r w:rsidR="0072127D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dachowego są zgodne z wymaganiami niniejszej specyfikacji technicznej lub aprobaty technicznej albo wymaganiami norm przedmiotowych.</w:t>
      </w:r>
    </w:p>
    <w:p w14:paraId="05B1637F" w14:textId="77777777" w:rsidR="00B3062E" w:rsidRPr="00701FAC" w:rsidRDefault="00844D61">
      <w:pPr>
        <w:numPr>
          <w:ilvl w:val="0"/>
          <w:numId w:val="19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OBMIAR ROBÓT</w:t>
      </w:r>
    </w:p>
    <w:p w14:paraId="0142C2E1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lastRenderedPageBreak/>
        <w:t>7.1. Jednostką obmiarową robót jest:</w:t>
      </w:r>
    </w:p>
    <w:p w14:paraId="2874E19E" w14:textId="74410A8A" w:rsidR="00CD2E16" w:rsidRPr="00701FAC" w:rsidRDefault="00844D61">
      <w:pPr>
        <w:numPr>
          <w:ilvl w:val="0"/>
          <w:numId w:val="20"/>
        </w:numPr>
        <w:ind w:right="1717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dla robót  – Krycie dachu </w:t>
      </w:r>
      <w:r w:rsidR="00CD2E16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– m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pokrytej powierzchni dachu, </w:t>
      </w:r>
    </w:p>
    <w:p w14:paraId="793ADDA2" w14:textId="4CD43189" w:rsidR="00B3062E" w:rsidRPr="00701FAC" w:rsidRDefault="00844D61">
      <w:pPr>
        <w:numPr>
          <w:ilvl w:val="0"/>
          <w:numId w:val="20"/>
        </w:numPr>
        <w:ind w:right="1717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dla robót – Obróbki </w:t>
      </w:r>
      <w:r w:rsidRPr="00701FAC">
        <w:rPr>
          <w:rFonts w:ascii="Arial" w:hAnsi="Arial" w:cs="Arial"/>
          <w:color w:val="auto"/>
          <w:sz w:val="16"/>
          <w:szCs w:val="16"/>
        </w:rPr>
        <w:t>blacharskie – m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625591BB" w14:textId="77777777" w:rsidR="00B3062E" w:rsidRPr="00701FAC" w:rsidRDefault="00844D61">
      <w:pPr>
        <w:numPr>
          <w:ilvl w:val="0"/>
          <w:numId w:val="20"/>
        </w:numPr>
        <w:ind w:right="1717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dla robót – Rynny i rury spustowe – 1 m wykonanych rynien lub rur spustowych.</w:t>
      </w:r>
    </w:p>
    <w:p w14:paraId="07C4976B" w14:textId="77777777" w:rsidR="00B3062E" w:rsidRPr="00701FAC" w:rsidRDefault="00844D61">
      <w:pPr>
        <w:spacing w:after="64" w:line="259" w:lineRule="auto"/>
        <w:ind w:left="405"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7.2. Ilość robót określa się na podstawie dokumentacji projektowej z uwzględnieniem zmian podanych w dokumentacji powykonawczej zaaprobowanych przez </w:t>
      </w:r>
      <w:r w:rsidRPr="00701FAC">
        <w:rPr>
          <w:rFonts w:ascii="Arial" w:hAnsi="Arial" w:cs="Arial"/>
          <w:color w:val="auto"/>
          <w:sz w:val="16"/>
          <w:szCs w:val="16"/>
        </w:rPr>
        <w:t>Inspektora nadzoru i sprawdzonych w naturze</w:t>
      </w:r>
    </w:p>
    <w:p w14:paraId="1BF1873D" w14:textId="0F0FBD0F" w:rsidR="00B3062E" w:rsidRPr="00701FAC" w:rsidRDefault="00844D61" w:rsidP="0072127D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Z powierzchni dachu nie potrąca się urządzeń obcych, jak np. wywiewki itp. o ile powierzchnia każdego przekracza 0,50 m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01FAC">
        <w:rPr>
          <w:rFonts w:ascii="Arial" w:hAnsi="Arial" w:cs="Arial"/>
          <w:color w:val="auto"/>
          <w:sz w:val="16"/>
          <w:szCs w:val="16"/>
        </w:rPr>
        <w:t>.</w:t>
      </w:r>
    </w:p>
    <w:p w14:paraId="69D49BD9" w14:textId="77777777" w:rsidR="0072127D" w:rsidRPr="00701FAC" w:rsidRDefault="0072127D" w:rsidP="0072127D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BDDFED0" w14:textId="77777777" w:rsidR="00B3062E" w:rsidRPr="00701FAC" w:rsidRDefault="00844D61">
      <w:pPr>
        <w:numPr>
          <w:ilvl w:val="0"/>
          <w:numId w:val="21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ODBIÓR ROBÓT</w:t>
      </w:r>
    </w:p>
    <w:p w14:paraId="2E852843" w14:textId="77777777" w:rsidR="00B3062E" w:rsidRPr="00701FAC" w:rsidRDefault="00844D61" w:rsidP="0072127D">
      <w:pPr>
        <w:numPr>
          <w:ilvl w:val="1"/>
          <w:numId w:val="21"/>
        </w:numPr>
        <w:spacing w:after="0" w:line="231" w:lineRule="auto"/>
        <w:ind w:left="426" w:right="0" w:hanging="42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Podstawę do odbioru wykonania robót pokrywczych papowych stanowi stwierdzenie zgodności ich wykonania z dokumentacją projektową i zatwierdzonymi zmianami podanymi w dokumentacji powykonawczej</w:t>
      </w:r>
    </w:p>
    <w:p w14:paraId="45665CBE" w14:textId="77777777" w:rsidR="00B3062E" w:rsidRPr="00701FAC" w:rsidRDefault="00844D61" w:rsidP="0072127D">
      <w:pPr>
        <w:numPr>
          <w:ilvl w:val="1"/>
          <w:numId w:val="21"/>
        </w:numPr>
        <w:spacing w:after="0" w:line="259" w:lineRule="auto"/>
        <w:ind w:left="426"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Odbiór podłoża</w:t>
      </w:r>
    </w:p>
    <w:p w14:paraId="0300CD07" w14:textId="77777777" w:rsidR="00B3062E" w:rsidRPr="00701FAC" w:rsidRDefault="00844D61" w:rsidP="0072127D">
      <w:pPr>
        <w:numPr>
          <w:ilvl w:val="2"/>
          <w:numId w:val="21"/>
        </w:numPr>
        <w:spacing w:after="0"/>
        <w:ind w:left="426" w:right="0" w:hanging="42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Badania podłoża należy przeprowadzić w trakcie odbioru częściowego, podczas suchej pogody, przed przystąpieniem do </w:t>
      </w:r>
      <w:r w:rsidRPr="00701FAC">
        <w:rPr>
          <w:rFonts w:ascii="Arial" w:hAnsi="Arial" w:cs="Arial"/>
          <w:color w:val="auto"/>
          <w:sz w:val="16"/>
          <w:szCs w:val="16"/>
        </w:rPr>
        <w:t>pokrycia połaci dachowych.</w:t>
      </w:r>
    </w:p>
    <w:p w14:paraId="50C63D84" w14:textId="77777777" w:rsidR="00B3062E" w:rsidRPr="00701FAC" w:rsidRDefault="00844D61" w:rsidP="0072127D">
      <w:pPr>
        <w:numPr>
          <w:ilvl w:val="2"/>
          <w:numId w:val="21"/>
        </w:numPr>
        <w:spacing w:after="0"/>
        <w:ind w:left="426" w:right="0" w:hanging="42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Sprawdzenie równości powierzchni podłoża (deskowania) należy przeprowadzać za pomocą łaty kontrolnej o długości 2 m lub za pomocą szablonu z podziałką milimetrową. Prześwit między sprawdzaną powierzchnią a łatą nie powinien przekroczyć 5 mm.</w:t>
      </w:r>
    </w:p>
    <w:p w14:paraId="6032BEBB" w14:textId="77777777" w:rsidR="00B3062E" w:rsidRPr="00701FAC" w:rsidRDefault="00844D61" w:rsidP="0072127D">
      <w:pPr>
        <w:numPr>
          <w:ilvl w:val="1"/>
          <w:numId w:val="21"/>
        </w:numPr>
        <w:spacing w:after="0" w:line="259" w:lineRule="auto"/>
        <w:ind w:left="426" w:right="0" w:hanging="42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Ogólne wymagania odbioru robót pokrywczych</w:t>
      </w:r>
    </w:p>
    <w:p w14:paraId="15CBEB3F" w14:textId="77777777" w:rsidR="00B3062E" w:rsidRPr="00701FAC" w:rsidRDefault="00844D61" w:rsidP="0072127D">
      <w:pPr>
        <w:numPr>
          <w:ilvl w:val="2"/>
          <w:numId w:val="21"/>
        </w:numPr>
        <w:spacing w:after="0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Roboty pokrywcze, jako roboty zanikające, wymagają odbiorów częściowych. Badania w czasie odbioru częściowego należy przeprowadzać dla tych robót, do których dostęp później jest niemożliwy lub utrudniony.</w:t>
      </w:r>
    </w:p>
    <w:p w14:paraId="4B0C8529" w14:textId="77777777" w:rsidR="00B3062E" w:rsidRPr="00701FAC" w:rsidRDefault="00844D61" w:rsidP="0072127D">
      <w:pPr>
        <w:numPr>
          <w:ilvl w:val="2"/>
          <w:numId w:val="21"/>
        </w:numPr>
        <w:spacing w:after="0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Odbiór częściowy powinien obejmować sprawdzenie:</w:t>
      </w:r>
    </w:p>
    <w:p w14:paraId="3A5D555B" w14:textId="77777777" w:rsidR="00B3062E" w:rsidRPr="00701FAC" w:rsidRDefault="00844D61">
      <w:pPr>
        <w:numPr>
          <w:ilvl w:val="0"/>
          <w:numId w:val="22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podłoża (deskowania),</w:t>
      </w:r>
    </w:p>
    <w:p w14:paraId="29A04745" w14:textId="77777777" w:rsidR="00B3062E" w:rsidRPr="00701FAC" w:rsidRDefault="00844D61">
      <w:pPr>
        <w:numPr>
          <w:ilvl w:val="0"/>
          <w:numId w:val="22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jakości zastosowanych materiałów,</w:t>
      </w:r>
    </w:p>
    <w:p w14:paraId="04DAF949" w14:textId="77777777" w:rsidR="00B3062E" w:rsidRPr="00701FAC" w:rsidRDefault="00844D61">
      <w:pPr>
        <w:numPr>
          <w:ilvl w:val="0"/>
          <w:numId w:val="22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dokładności wykonania poszczególnych warstw pokrycia,</w:t>
      </w:r>
    </w:p>
    <w:p w14:paraId="5F9A297A" w14:textId="77777777" w:rsidR="00B3062E" w:rsidRPr="00701FAC" w:rsidRDefault="00844D61">
      <w:pPr>
        <w:numPr>
          <w:ilvl w:val="0"/>
          <w:numId w:val="22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dokładności wykonania obróbek blacharskich i ich połączenia z pokryciem.</w:t>
      </w:r>
    </w:p>
    <w:p w14:paraId="383623DC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8.3.3. Dokonanie odbioru częściowego powinno być potwierdzone wpisem do dziennika budowy.</w:t>
      </w:r>
    </w:p>
    <w:p w14:paraId="100A700A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8.3.4. Badania końcowe pokrycia należy przeprowadzić po zakończeniu robót, po deszczu.</w:t>
      </w:r>
    </w:p>
    <w:p w14:paraId="7B78DD30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8.3.5. Podstawę do odbioru robót pokrywczych stanowią następujące dokumenty:</w:t>
      </w:r>
    </w:p>
    <w:p w14:paraId="66CA650F" w14:textId="77777777" w:rsidR="00B3062E" w:rsidRPr="00701FAC" w:rsidRDefault="00844D61">
      <w:pPr>
        <w:numPr>
          <w:ilvl w:val="0"/>
          <w:numId w:val="23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dokumentacja projektowa i dokumentacja powykonawcza,</w:t>
      </w:r>
    </w:p>
    <w:p w14:paraId="7D93DC91" w14:textId="7E3E4937" w:rsidR="00B3062E" w:rsidRPr="00701FAC" w:rsidRDefault="00844D61">
      <w:pPr>
        <w:numPr>
          <w:ilvl w:val="0"/>
          <w:numId w:val="23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dziennik budowy z zapisem stwierdzającym odbiór częściowy podłoża oraz poszczególnych warstw lub</w:t>
      </w:r>
      <w:r w:rsidR="00CD2E16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fragmentów pokrycia,</w:t>
      </w:r>
    </w:p>
    <w:p w14:paraId="2C81AB00" w14:textId="77777777" w:rsidR="00B3062E" w:rsidRPr="00701FAC" w:rsidRDefault="00844D61">
      <w:pPr>
        <w:numPr>
          <w:ilvl w:val="0"/>
          <w:numId w:val="23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zapisy dotyczące wykonywania robót pokrywczych i rodzaju zastosowanych materiałów,</w:t>
      </w:r>
    </w:p>
    <w:p w14:paraId="0589F073" w14:textId="77777777" w:rsidR="00B3062E" w:rsidRPr="00701FAC" w:rsidRDefault="00844D61">
      <w:pPr>
        <w:numPr>
          <w:ilvl w:val="0"/>
          <w:numId w:val="23"/>
        </w:numPr>
        <w:ind w:right="0" w:hanging="285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protokoły </w:t>
      </w:r>
      <w:r w:rsidRPr="00701FAC">
        <w:rPr>
          <w:rFonts w:ascii="Arial" w:hAnsi="Arial" w:cs="Arial"/>
          <w:color w:val="auto"/>
          <w:sz w:val="16"/>
          <w:szCs w:val="16"/>
        </w:rPr>
        <w:t>odbioru materiałów i wyrobów, które powinny zawierać:</w:t>
      </w:r>
    </w:p>
    <w:p w14:paraId="17DA3044" w14:textId="77777777" w:rsidR="00B3062E" w:rsidRPr="00701FAC" w:rsidRDefault="00844D61">
      <w:pPr>
        <w:numPr>
          <w:ilvl w:val="1"/>
          <w:numId w:val="23"/>
        </w:numPr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zestawienie wyników badań międzyoperacyjnych i końcowych,</w:t>
      </w:r>
    </w:p>
    <w:p w14:paraId="287A54EE" w14:textId="77777777" w:rsidR="00B3062E" w:rsidRPr="00701FAC" w:rsidRDefault="00844D61">
      <w:pPr>
        <w:numPr>
          <w:ilvl w:val="1"/>
          <w:numId w:val="23"/>
        </w:numPr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stwierdzenie zgodności lub niezgodności wykonania robót pokrywczych z dokumentacją,</w:t>
      </w:r>
    </w:p>
    <w:p w14:paraId="7818F916" w14:textId="77777777" w:rsidR="00B3062E" w:rsidRPr="00701FAC" w:rsidRDefault="00844D61">
      <w:pPr>
        <w:numPr>
          <w:ilvl w:val="1"/>
          <w:numId w:val="23"/>
        </w:numPr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spis dokumentacji przekazywanej inwestorowi, w skład tej </w:t>
      </w:r>
      <w:r w:rsidRPr="00701FAC">
        <w:rPr>
          <w:rFonts w:ascii="Arial" w:hAnsi="Arial" w:cs="Arial"/>
          <w:color w:val="auto"/>
          <w:sz w:val="16"/>
          <w:szCs w:val="16"/>
        </w:rPr>
        <w:t>dokumentacji powinien wchodzić program utrzymania pokrycia.</w:t>
      </w:r>
    </w:p>
    <w:p w14:paraId="7118BDE5" w14:textId="77777777" w:rsidR="00B3062E" w:rsidRPr="00701FAC" w:rsidRDefault="00844D61" w:rsidP="0072127D">
      <w:pPr>
        <w:numPr>
          <w:ilvl w:val="2"/>
          <w:numId w:val="24"/>
        </w:numPr>
        <w:ind w:left="426" w:right="0" w:hanging="42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Odbiór końcowy polega na dokładnym sprawdzeniu stanu wykonanego pokrycia i obróbek blacharskich i połączenia ich z urządzeniami odwadniającymi, a także wykonania na pokryciu ewentualnych zabezpieczeń eksploatacyjnych.</w:t>
      </w:r>
    </w:p>
    <w:p w14:paraId="5D39F29A" w14:textId="77777777" w:rsidR="00B3062E" w:rsidRPr="00701FAC" w:rsidRDefault="00844D61" w:rsidP="0072127D">
      <w:pPr>
        <w:numPr>
          <w:ilvl w:val="2"/>
          <w:numId w:val="24"/>
        </w:numPr>
        <w:ind w:left="567" w:right="0" w:hanging="567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Roboty uznaje się za zgodne z dokumentacją projektową, ST i wymaganiami Inspektora nadzoru, jeżeli wszystkie pomiary i badania z zachowaniem tolerancji wg pkt. 6 ST dały pozytywne wyniki.</w:t>
      </w:r>
    </w:p>
    <w:p w14:paraId="131CD3E4" w14:textId="77777777" w:rsidR="00B3062E" w:rsidRPr="00701FAC" w:rsidRDefault="00844D61">
      <w:pPr>
        <w:spacing w:line="259" w:lineRule="auto"/>
        <w:ind w:left="117" w:right="0" w:firstLine="0"/>
        <w:jc w:val="center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Jeżeli chociaż jeden wynik badania daje wynik negatywny, pokrycie papowe nie powinno być odebrane.</w:t>
      </w:r>
    </w:p>
    <w:p w14:paraId="53F9926A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 takim przypadku należy przyjąć jedno z następujących rozwiązań:</w:t>
      </w:r>
    </w:p>
    <w:p w14:paraId="2872DC61" w14:textId="77777777" w:rsidR="00B3062E" w:rsidRPr="00701FAC" w:rsidRDefault="00844D61">
      <w:pPr>
        <w:numPr>
          <w:ilvl w:val="0"/>
          <w:numId w:val="25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poprawić i przedstawić do ponownego odbioru,</w:t>
      </w:r>
    </w:p>
    <w:p w14:paraId="597D2FFB" w14:textId="77777777" w:rsidR="00B3062E" w:rsidRPr="00701FAC" w:rsidRDefault="00844D61">
      <w:pPr>
        <w:numPr>
          <w:ilvl w:val="0"/>
          <w:numId w:val="25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jeżeli odchylenia od wymagań nie zagrażają bezpieczeństwu użytkowania i trwałości pokrycia, obniżyć cenę pokrycia,</w:t>
      </w:r>
    </w:p>
    <w:p w14:paraId="32A6999C" w14:textId="12C6AD5B" w:rsidR="00B3062E" w:rsidRPr="00701FAC" w:rsidRDefault="00844D61" w:rsidP="0072127D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 przypadku gdy nie są możliwe podane rozwiązania – rozebrać pokrycie (miejsc nie odpowiadających ST) i ponownie wykonać roboty pokrywcze.</w:t>
      </w:r>
    </w:p>
    <w:p w14:paraId="6AF52604" w14:textId="77777777" w:rsidR="0072127D" w:rsidRPr="00701FAC" w:rsidRDefault="0072127D" w:rsidP="0072127D">
      <w:pPr>
        <w:spacing w:after="0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p w14:paraId="3C5FBEF4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8.4. Odbiór pokrycia z papy</w:t>
      </w:r>
    </w:p>
    <w:p w14:paraId="402D62D8" w14:textId="77777777" w:rsidR="00B3062E" w:rsidRPr="00701FAC" w:rsidRDefault="00844D61">
      <w:pPr>
        <w:numPr>
          <w:ilvl w:val="2"/>
          <w:numId w:val="26"/>
        </w:numPr>
        <w:ind w:right="0" w:hanging="50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Sprawdzenie przyklejenia papy do podłoża oraz papy do papy </w:t>
      </w:r>
      <w:r w:rsidRPr="00701FAC">
        <w:rPr>
          <w:rFonts w:ascii="Arial" w:hAnsi="Arial" w:cs="Arial"/>
          <w:color w:val="auto"/>
          <w:sz w:val="16"/>
          <w:szCs w:val="16"/>
        </w:rPr>
        <w:t>należy przeprowadzić przez nacięcie i odrywanie paska papy szerokości nie większej niż 5 cm, z tym że pasek papy należy naciąć nad miejscem przyklejenia papy.</w:t>
      </w:r>
    </w:p>
    <w:p w14:paraId="2835C7E5" w14:textId="77777777" w:rsidR="00B3062E" w:rsidRPr="00701FAC" w:rsidRDefault="00844D61">
      <w:pPr>
        <w:numPr>
          <w:ilvl w:val="2"/>
          <w:numId w:val="26"/>
        </w:numPr>
        <w:ind w:right="0" w:hanging="50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Sprawdzenie przybicia papy do deskowania.</w:t>
      </w:r>
    </w:p>
    <w:p w14:paraId="32426459" w14:textId="77777777" w:rsidR="00B3062E" w:rsidRPr="00701FAC" w:rsidRDefault="00844D61">
      <w:pPr>
        <w:numPr>
          <w:ilvl w:val="2"/>
          <w:numId w:val="26"/>
        </w:numPr>
        <w:spacing w:after="391"/>
        <w:ind w:right="0" w:hanging="50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Sprawdzenie szerokości zakładów papy należy dokonać w trakcie odbiorów częściowych i końcowych przez pomiar szerokości zakładów w trzech dowolnych miejscach na każde 100 m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. </w:t>
      </w:r>
    </w:p>
    <w:p w14:paraId="3810811A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8.5.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Odbiór obróbek blacharskich, rynien i rur spustowych powinien obejmować:</w:t>
      </w:r>
    </w:p>
    <w:p w14:paraId="6C3582F5" w14:textId="77777777" w:rsidR="00B3062E" w:rsidRPr="00701FAC" w:rsidRDefault="00844D61" w:rsidP="0072127D">
      <w:pPr>
        <w:numPr>
          <w:ilvl w:val="2"/>
          <w:numId w:val="27"/>
        </w:numPr>
        <w:ind w:left="284" w:right="0" w:hanging="28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lastRenderedPageBreak/>
        <w:t>Sprawdzenie prawidłowości połączeń poziomych i pionowych.</w:t>
      </w:r>
    </w:p>
    <w:p w14:paraId="5BEDD9E7" w14:textId="77777777" w:rsidR="00B3062E" w:rsidRPr="00701FAC" w:rsidRDefault="00844D61" w:rsidP="0072127D">
      <w:pPr>
        <w:numPr>
          <w:ilvl w:val="2"/>
          <w:numId w:val="27"/>
        </w:numPr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Sprawdzenie mocowania elementów do deskowania lub ścian.</w:t>
      </w:r>
    </w:p>
    <w:p w14:paraId="4ECD5825" w14:textId="77777777" w:rsidR="00B3062E" w:rsidRPr="00701FAC" w:rsidRDefault="00844D61" w:rsidP="0072127D">
      <w:pPr>
        <w:numPr>
          <w:ilvl w:val="2"/>
          <w:numId w:val="27"/>
        </w:numPr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Sprawdzenie prawidłowości spadków rynien.</w:t>
      </w:r>
    </w:p>
    <w:p w14:paraId="36BB6C7E" w14:textId="03437E2A" w:rsidR="00B3062E" w:rsidRPr="00701FAC" w:rsidRDefault="00844D61" w:rsidP="0072127D">
      <w:pPr>
        <w:numPr>
          <w:ilvl w:val="2"/>
          <w:numId w:val="27"/>
        </w:numPr>
        <w:spacing w:after="0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Sprawdzenie szczelności połączeń rur spustowych z przewodami kanalizacyjnymi. Rury spustowe mogą być montowane po sprawdzeniu drożności przewodów kanalizacyjnych.</w:t>
      </w:r>
    </w:p>
    <w:p w14:paraId="4F4BB4D9" w14:textId="77777777" w:rsidR="0072127D" w:rsidRPr="00701FAC" w:rsidRDefault="0072127D" w:rsidP="0072127D">
      <w:pPr>
        <w:spacing w:after="0"/>
        <w:ind w:left="1224" w:right="0" w:firstLine="0"/>
        <w:rPr>
          <w:rFonts w:ascii="Arial" w:hAnsi="Arial" w:cs="Arial"/>
          <w:color w:val="auto"/>
          <w:sz w:val="16"/>
          <w:szCs w:val="16"/>
        </w:rPr>
      </w:pPr>
    </w:p>
    <w:p w14:paraId="4F3DEA93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8.6. Zakończenie odbioru</w:t>
      </w:r>
    </w:p>
    <w:p w14:paraId="155CEA36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8.6.1. Odbioru pokrycia papą potwierdza się: protokołem, który powinien zawierać:</w:t>
      </w:r>
    </w:p>
    <w:p w14:paraId="2891E72B" w14:textId="77777777" w:rsidR="00B3062E" w:rsidRPr="00701FAC" w:rsidRDefault="00844D61">
      <w:pPr>
        <w:numPr>
          <w:ilvl w:val="0"/>
          <w:numId w:val="25"/>
        </w:numPr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ocenę wyników badań,</w:t>
      </w:r>
    </w:p>
    <w:p w14:paraId="005E3664" w14:textId="64F71050" w:rsidR="00B3062E" w:rsidRPr="00701FAC" w:rsidRDefault="00844D61" w:rsidP="0072127D">
      <w:pPr>
        <w:numPr>
          <w:ilvl w:val="0"/>
          <w:numId w:val="25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wykaz wad i usterek ze wskazaniem możliwości ich usunięcia, –</w:t>
      </w:r>
      <w:r w:rsidRPr="00701FAC">
        <w:rPr>
          <w:rFonts w:ascii="Arial" w:hAnsi="Arial" w:cs="Arial"/>
          <w:color w:val="auto"/>
          <w:sz w:val="16"/>
          <w:szCs w:val="16"/>
        </w:rPr>
        <w:tab/>
        <w:t xml:space="preserve">stwierdzenie zgodności lub niezgodności wykonania z </w:t>
      </w:r>
      <w:r w:rsidRPr="00701FAC">
        <w:rPr>
          <w:rFonts w:ascii="Arial" w:hAnsi="Arial" w:cs="Arial"/>
          <w:color w:val="auto"/>
          <w:sz w:val="16"/>
          <w:szCs w:val="16"/>
        </w:rPr>
        <w:t>zamówieniem.</w:t>
      </w:r>
    </w:p>
    <w:p w14:paraId="7539C864" w14:textId="77777777" w:rsidR="0072127D" w:rsidRPr="00701FAC" w:rsidRDefault="0072127D" w:rsidP="0072127D">
      <w:pPr>
        <w:spacing w:after="0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p w14:paraId="39593EAB" w14:textId="77777777" w:rsidR="00B3062E" w:rsidRPr="00701FAC" w:rsidRDefault="00844D61">
      <w:pPr>
        <w:numPr>
          <w:ilvl w:val="0"/>
          <w:numId w:val="28"/>
        </w:numPr>
        <w:spacing w:after="64" w:line="259" w:lineRule="auto"/>
        <w:ind w:right="0" w:hanging="42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PODSTAWA PŁATNOŚCI</w:t>
      </w:r>
    </w:p>
    <w:p w14:paraId="2FC603A2" w14:textId="70395ED5" w:rsidR="00B3062E" w:rsidRPr="00701FAC" w:rsidRDefault="00844D61">
      <w:pPr>
        <w:spacing w:after="43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 xml:space="preserve">9.1. Pokrycie dachu </w:t>
      </w:r>
    </w:p>
    <w:p w14:paraId="5A863A16" w14:textId="77777777" w:rsidR="00B3062E" w:rsidRPr="00701FAC" w:rsidRDefault="00844D61" w:rsidP="00840359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Płaci się za ustaloną ilość m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krycia z wykonaniem warstwy dolnej i warstwy wierzchniej, która obejmuje:</w:t>
      </w:r>
    </w:p>
    <w:p w14:paraId="6A6F4ED5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przygotowanie stanowiska roboczego,</w:t>
      </w:r>
    </w:p>
    <w:p w14:paraId="4B303059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dostarczenie materiałów i sprzętu,</w:t>
      </w:r>
    </w:p>
    <w:p w14:paraId="12BBA08C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przygotowanie lepiku,</w:t>
      </w:r>
    </w:p>
    <w:p w14:paraId="430AE902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obsługę sprzętu nieposiadającego etatowej obsługi,</w:t>
      </w:r>
    </w:p>
    <w:p w14:paraId="1499DCE1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ustawienie i rozbiórkę rusztowań,</w:t>
      </w:r>
    </w:p>
    <w:p w14:paraId="6DBB4D79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oczyszczenie i zagruntowanie podłoża,</w:t>
      </w:r>
    </w:p>
    <w:p w14:paraId="05FAAC81" w14:textId="77777777" w:rsidR="0072127D" w:rsidRPr="00701FAC" w:rsidRDefault="00844D61" w:rsidP="00840359">
      <w:pPr>
        <w:numPr>
          <w:ilvl w:val="0"/>
          <w:numId w:val="29"/>
        </w:numPr>
        <w:spacing w:after="0" w:line="312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pokrycie dachu papą na lepiku na zimno lub na gorąco (warstwa dolna i warstwa wierzchnia), –</w:t>
      </w:r>
      <w:r w:rsidRPr="00701FAC">
        <w:rPr>
          <w:rFonts w:ascii="Arial" w:hAnsi="Arial" w:cs="Arial"/>
          <w:color w:val="auto"/>
          <w:sz w:val="16"/>
          <w:szCs w:val="16"/>
        </w:rPr>
        <w:tab/>
        <w:t xml:space="preserve">oczyszczenie miejsca pracy z resztek materiałów, </w:t>
      </w:r>
    </w:p>
    <w:p w14:paraId="4597FB77" w14:textId="31AE7BF4" w:rsidR="00B3062E" w:rsidRPr="00701FAC" w:rsidRDefault="00844D61" w:rsidP="00840359">
      <w:pPr>
        <w:numPr>
          <w:ilvl w:val="0"/>
          <w:numId w:val="29"/>
        </w:numPr>
        <w:spacing w:after="0" w:line="312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likwidacja stanowiska roboczego.</w:t>
      </w:r>
    </w:p>
    <w:p w14:paraId="0DD60986" w14:textId="77777777" w:rsidR="0072127D" w:rsidRPr="00701FAC" w:rsidRDefault="0072127D" w:rsidP="0072127D">
      <w:pPr>
        <w:spacing w:after="14" w:line="312" w:lineRule="auto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p w14:paraId="7296DC45" w14:textId="77777777" w:rsidR="00B3062E" w:rsidRPr="00701FAC" w:rsidRDefault="00844D61">
      <w:pPr>
        <w:spacing w:after="4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9.2. Obróbki blacharskie</w:t>
      </w:r>
    </w:p>
    <w:p w14:paraId="208D2D51" w14:textId="77777777" w:rsidR="00B3062E" w:rsidRPr="00701FAC" w:rsidRDefault="00844D61" w:rsidP="00840359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Płaci się za ustaloną ilość m</w:t>
      </w:r>
      <w:r w:rsidRPr="00701FAC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 obróbki wg ceny jednostkowej, która obejmuje:</w:t>
      </w:r>
    </w:p>
    <w:p w14:paraId="631045C7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przygotowanie,</w:t>
      </w:r>
    </w:p>
    <w:p w14:paraId="035ED0F7" w14:textId="77777777" w:rsidR="00840359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zamontowanie i umocowanie obróbek w podłożu, zalutowanie połączeń, </w:t>
      </w:r>
    </w:p>
    <w:p w14:paraId="0251DCD5" w14:textId="79B2B5E1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uporządkowanie stanowiska pracy.</w:t>
      </w:r>
    </w:p>
    <w:p w14:paraId="57F86B4D" w14:textId="77777777" w:rsidR="00840359" w:rsidRPr="00701FAC" w:rsidRDefault="00840359" w:rsidP="00840359">
      <w:pPr>
        <w:spacing w:after="0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p w14:paraId="19917C52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9.3. Rynny i rury spustowe</w:t>
      </w:r>
    </w:p>
    <w:p w14:paraId="7D5B1E52" w14:textId="77777777" w:rsidR="00B3062E" w:rsidRPr="00701FAC" w:rsidRDefault="00844D61" w:rsidP="00840359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Płaci się za ustaloną ilość „m” rynien wg ceny jednostkowej, która obejmuje:</w:t>
      </w:r>
    </w:p>
    <w:p w14:paraId="2BA71A0A" w14:textId="77777777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przygotowanie,</w:t>
      </w:r>
    </w:p>
    <w:p w14:paraId="1FA19F42" w14:textId="77777777" w:rsidR="00840359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 xml:space="preserve">zmontowanie, umocowanie </w:t>
      </w:r>
      <w:r w:rsidRPr="00701FAC">
        <w:rPr>
          <w:rFonts w:ascii="Arial" w:hAnsi="Arial" w:cs="Arial"/>
          <w:color w:val="auto"/>
          <w:sz w:val="16"/>
          <w:szCs w:val="16"/>
        </w:rPr>
        <w:t>rynien i rur spustowych oraz zalutowanie połączeń,</w:t>
      </w:r>
    </w:p>
    <w:p w14:paraId="449EBAFD" w14:textId="3077C208" w:rsidR="00B3062E" w:rsidRPr="00701FAC" w:rsidRDefault="00844D61" w:rsidP="00840359">
      <w:pPr>
        <w:numPr>
          <w:ilvl w:val="0"/>
          <w:numId w:val="29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uporządkowanie stanowiska pracy.</w:t>
      </w:r>
    </w:p>
    <w:p w14:paraId="7D5B70DD" w14:textId="77777777" w:rsidR="00840359" w:rsidRPr="00701FAC" w:rsidRDefault="00840359" w:rsidP="00840359">
      <w:pPr>
        <w:spacing w:after="0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p w14:paraId="18784F15" w14:textId="77777777" w:rsidR="00B3062E" w:rsidRPr="00701FAC" w:rsidRDefault="00844D61">
      <w:pPr>
        <w:tabs>
          <w:tab w:val="center" w:pos="1459"/>
        </w:tabs>
        <w:spacing w:after="85" w:line="259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10.</w:t>
      </w:r>
      <w:r w:rsidRPr="00701FAC">
        <w:rPr>
          <w:rFonts w:ascii="Arial" w:hAnsi="Arial" w:cs="Arial"/>
          <w:b/>
          <w:bCs/>
          <w:color w:val="auto"/>
          <w:sz w:val="16"/>
          <w:szCs w:val="16"/>
        </w:rPr>
        <w:tab/>
        <w:t>PRZEPISY ZWIĄZANE</w:t>
      </w:r>
    </w:p>
    <w:p w14:paraId="5A7EA3EE" w14:textId="77777777" w:rsidR="00B3062E" w:rsidRPr="00701FAC" w:rsidRDefault="00844D61">
      <w:pPr>
        <w:spacing w:after="55" w:line="259" w:lineRule="auto"/>
        <w:ind w:left="0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10.1.Normy</w:t>
      </w:r>
    </w:p>
    <w:p w14:paraId="4763D05B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PN-B-02361:1999 Pochylenia połaci dachowych.</w:t>
      </w:r>
    </w:p>
    <w:p w14:paraId="5B3D064D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PN-B-24620:1998 Lepiki, masy i roztwory asfaltowe stosowane na zimno.</w:t>
      </w:r>
    </w:p>
    <w:p w14:paraId="4F27B09B" w14:textId="297D643A" w:rsidR="00B3062E" w:rsidRPr="00701FAC" w:rsidRDefault="00844D61">
      <w:pPr>
        <w:tabs>
          <w:tab w:val="center" w:pos="3324"/>
        </w:tabs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PN-74/B-24620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Lepik asfaltowy stosowany na zimno.</w:t>
      </w:r>
    </w:p>
    <w:p w14:paraId="40AF1515" w14:textId="29F92830" w:rsidR="00B3062E" w:rsidRPr="00701FAC" w:rsidRDefault="00844D61">
      <w:pPr>
        <w:tabs>
          <w:tab w:val="center" w:pos="3228"/>
        </w:tabs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PN-74/B-24622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Roztwór asfaltowy do gruntowania.</w:t>
      </w:r>
    </w:p>
    <w:p w14:paraId="17C89A40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PN-B-24625:1998 Lepik asfaltowy i asfaltowo-polimerowy z wypełniaczami stosowanymi na gorąco.</w:t>
      </w:r>
    </w:p>
    <w:p w14:paraId="05D25801" w14:textId="56C58CC3" w:rsidR="00B3062E" w:rsidRPr="00701FAC" w:rsidRDefault="00844D61">
      <w:pPr>
        <w:ind w:left="1679" w:right="0" w:hanging="169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PN-91/B-27618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Papa asfaltowa na osnowie zdwojonej przeszywanej z tkaniny szklanej i welonu szklanego.</w:t>
      </w:r>
    </w:p>
    <w:p w14:paraId="7186CE2A" w14:textId="6384C7D2" w:rsidR="00B3062E" w:rsidRPr="00701FAC" w:rsidRDefault="00844D61">
      <w:pPr>
        <w:tabs>
          <w:tab w:val="center" w:pos="3744"/>
        </w:tabs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PN-92/B-27619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Papa asfaltowa na folii lub taśmie aluminiowej.</w:t>
      </w:r>
    </w:p>
    <w:p w14:paraId="5BA01D1D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PN-B-27620:1998 Papa asfaltowa na welonie szklanym.</w:t>
      </w:r>
    </w:p>
    <w:p w14:paraId="2889C51E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PN-B-27621:1998 Papa asfaltowa podkładowa na włókninie przeszywanej.</w:t>
      </w:r>
    </w:p>
    <w:p w14:paraId="485BD2BC" w14:textId="3251C35A" w:rsidR="00B3062E" w:rsidRPr="00701FAC" w:rsidRDefault="00844D61">
      <w:pPr>
        <w:tabs>
          <w:tab w:val="center" w:pos="3449"/>
        </w:tabs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PN-89/B-27617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 xml:space="preserve">Papa </w:t>
      </w:r>
      <w:r w:rsidRPr="00701FAC">
        <w:rPr>
          <w:rFonts w:ascii="Arial" w:hAnsi="Arial" w:cs="Arial"/>
          <w:color w:val="auto"/>
          <w:sz w:val="16"/>
          <w:szCs w:val="16"/>
        </w:rPr>
        <w:t>asfaltowa na tekturze budowlanej.</w:t>
      </w:r>
    </w:p>
    <w:p w14:paraId="05B0510A" w14:textId="77777777" w:rsidR="00B3062E" w:rsidRPr="00701FAC" w:rsidRDefault="00844D61">
      <w:pPr>
        <w:ind w:left="1679" w:right="0" w:hanging="1694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PN-61/B-10245 Roboty blacharskie budowlane z blachy stalowej ocynkowanej i cynkowej. Wymagania i badania techniczne przy odbiorze.</w:t>
      </w:r>
    </w:p>
    <w:p w14:paraId="58219ED5" w14:textId="345B6396" w:rsidR="00B3062E" w:rsidRPr="00701FAC" w:rsidRDefault="00844D61">
      <w:pPr>
        <w:tabs>
          <w:tab w:val="center" w:pos="5405"/>
        </w:tabs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PN-80/B-10240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Pokrycia dachowe z papy i powłok asfaltowych. Wymagania i badania przy odbiorze.</w:t>
      </w:r>
    </w:p>
    <w:p w14:paraId="1CD7460B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PN-B-94701:1999 Dachy. Uchwyty stalowe ocynkowane do rur spustowych okrągłych.</w:t>
      </w:r>
    </w:p>
    <w:p w14:paraId="09A6E6B8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PN-EN 1462:2001 Uchwyty do rynien okapowych. Wymagania i badania.</w:t>
      </w:r>
    </w:p>
    <w:p w14:paraId="62EDE8B3" w14:textId="25251A3A" w:rsidR="00B3062E" w:rsidRPr="00701FAC" w:rsidRDefault="00844D61">
      <w:pPr>
        <w:tabs>
          <w:tab w:val="center" w:pos="4885"/>
        </w:tabs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PN-EN 612:1999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Rynny dachowe i rury spustowe z blachy. Definicje, podział i wymagania.</w:t>
      </w:r>
    </w:p>
    <w:p w14:paraId="5C04FC48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PN-B-94702:1999 Dach. Uchwyty stalowe ocynkowane do rynien półokrągłych.</w:t>
      </w:r>
    </w:p>
    <w:p w14:paraId="464F4D84" w14:textId="16096864" w:rsidR="00B3062E" w:rsidRPr="00701FAC" w:rsidRDefault="00844D61" w:rsidP="00840359">
      <w:pPr>
        <w:tabs>
          <w:tab w:val="center" w:pos="5333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lastRenderedPageBreak/>
        <w:t>PN-EN 607:1999</w:t>
      </w:r>
      <w:r w:rsidR="00840359" w:rsidRPr="00701FAC">
        <w:rPr>
          <w:rFonts w:ascii="Arial" w:hAnsi="Arial" w:cs="Arial"/>
          <w:color w:val="auto"/>
          <w:sz w:val="16"/>
          <w:szCs w:val="16"/>
        </w:rPr>
        <w:t xml:space="preserve"> </w:t>
      </w:r>
      <w:r w:rsidRPr="00701FAC">
        <w:rPr>
          <w:rFonts w:ascii="Arial" w:hAnsi="Arial" w:cs="Arial"/>
          <w:color w:val="auto"/>
          <w:sz w:val="16"/>
          <w:szCs w:val="16"/>
        </w:rPr>
        <w:t>Rynny dachowe i elementy wyposażenia z PCV-U. Definicje, wymagania i badania.</w:t>
      </w:r>
    </w:p>
    <w:p w14:paraId="1255E179" w14:textId="77777777" w:rsidR="00840359" w:rsidRPr="00701FAC" w:rsidRDefault="00840359" w:rsidP="00840359">
      <w:pPr>
        <w:tabs>
          <w:tab w:val="center" w:pos="5333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PN-EN 12691:2002: Elastyczne wyroby wodochronne. Wyroby asfaltowe, z tworzyw sztucznych i</w:t>
      </w:r>
    </w:p>
    <w:p w14:paraId="2C9379EE" w14:textId="35D26E7A" w:rsidR="00840359" w:rsidRPr="00701FAC" w:rsidRDefault="00840359" w:rsidP="00840359">
      <w:pPr>
        <w:tabs>
          <w:tab w:val="center" w:pos="5333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kauczuku do izolacji wodochronnej dachów. Określanie odporności na uderzenie</w:t>
      </w:r>
    </w:p>
    <w:p w14:paraId="64E51BE7" w14:textId="77777777" w:rsidR="00840359" w:rsidRPr="00701FAC" w:rsidRDefault="00840359" w:rsidP="00840359">
      <w:pPr>
        <w:tabs>
          <w:tab w:val="center" w:pos="5333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B5DA85A" w14:textId="77777777" w:rsidR="00B3062E" w:rsidRPr="00701FAC" w:rsidRDefault="00844D61">
      <w:pPr>
        <w:spacing w:after="64" w:line="259" w:lineRule="auto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701FAC">
        <w:rPr>
          <w:rFonts w:ascii="Arial" w:hAnsi="Arial" w:cs="Arial"/>
          <w:b/>
          <w:bCs/>
          <w:color w:val="auto"/>
          <w:sz w:val="16"/>
          <w:szCs w:val="16"/>
        </w:rPr>
        <w:t>10.2.Inne dokumenty i instrukcje</w:t>
      </w:r>
    </w:p>
    <w:p w14:paraId="03107804" w14:textId="77777777" w:rsidR="00B3062E" w:rsidRPr="00701FAC" w:rsidRDefault="00844D61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701FAC">
        <w:rPr>
          <w:rFonts w:ascii="Arial" w:hAnsi="Arial" w:cs="Arial"/>
          <w:color w:val="auto"/>
          <w:sz w:val="16"/>
          <w:szCs w:val="16"/>
        </w:rPr>
        <w:t>Warunki techniczne wykonania i odbioru robót budowlanych – część C: zabezpieczenie i izolacje, zeszyt 1: Pokrycia dachowe, wydane przez ITB – Warszawa 2004 r.</w:t>
      </w:r>
    </w:p>
    <w:sectPr w:rsidR="00B3062E" w:rsidRPr="00701FAC" w:rsidSect="0021318A"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1207" w:right="1169" w:bottom="1216" w:left="1418" w:header="708" w:footer="5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D432" w14:textId="77777777" w:rsidR="00AD561C" w:rsidRDefault="00AD561C">
      <w:pPr>
        <w:spacing w:after="0" w:line="240" w:lineRule="auto"/>
      </w:pPr>
      <w:r>
        <w:separator/>
      </w:r>
    </w:p>
  </w:endnote>
  <w:endnote w:type="continuationSeparator" w:id="0">
    <w:p w14:paraId="612E79C3" w14:textId="77777777" w:rsidR="00AD561C" w:rsidRDefault="00AD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5CE8" w14:textId="77777777" w:rsidR="00B3062E" w:rsidRDefault="00844D61">
    <w:pPr>
      <w:spacing w:after="0" w:line="224" w:lineRule="auto"/>
      <w:ind w:left="1848" w:right="321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  <w:sz w:val="22"/>
      </w:rPr>
      <w:t>spec</w:t>
    </w:r>
    <w:r>
      <w:rPr>
        <w:color w:val="004E92"/>
        <w:sz w:val="18"/>
      </w:rPr>
      <w:t>SEKO</w:t>
    </w:r>
    <w:r>
      <w:rPr>
        <w:color w:val="3399CC"/>
        <w:sz w:val="22"/>
      </w:rPr>
      <w:t>spec</w:t>
    </w:r>
    <w:proofErr w:type="spellEnd"/>
    <w:r>
      <w:rPr>
        <w:color w:val="3399CC"/>
        <w:sz w:val="22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7D8D0CAA" w14:textId="77777777" w:rsidR="00B3062E" w:rsidRDefault="00844D61">
    <w:pPr>
      <w:spacing w:after="0" w:line="259" w:lineRule="auto"/>
      <w:ind w:left="0" w:right="-7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4D1A" w14:textId="77777777" w:rsidR="00B3062E" w:rsidRDefault="00844D61">
    <w:pPr>
      <w:spacing w:after="0" w:line="259" w:lineRule="auto"/>
      <w:ind w:left="0" w:right="-7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BA86" w14:textId="77777777" w:rsidR="00B3062E" w:rsidRDefault="00844D61">
    <w:pPr>
      <w:spacing w:after="0" w:line="259" w:lineRule="auto"/>
      <w:ind w:left="0" w:right="-7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D6D9" w14:textId="77777777" w:rsidR="00AD561C" w:rsidRDefault="00AD561C">
      <w:pPr>
        <w:spacing w:after="0" w:line="240" w:lineRule="auto"/>
      </w:pPr>
      <w:r>
        <w:separator/>
      </w:r>
    </w:p>
  </w:footnote>
  <w:footnote w:type="continuationSeparator" w:id="0">
    <w:p w14:paraId="7415914A" w14:textId="77777777" w:rsidR="00AD561C" w:rsidRDefault="00AD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26C9" w14:textId="77777777" w:rsidR="005737E7" w:rsidRPr="005737E7" w:rsidRDefault="005737E7" w:rsidP="005737E7">
    <w:pPr>
      <w:spacing w:after="19" w:line="259" w:lineRule="auto"/>
      <w:ind w:left="0" w:right="64" w:firstLine="0"/>
      <w:jc w:val="center"/>
      <w:rPr>
        <w:sz w:val="21"/>
      </w:rPr>
    </w:pPr>
    <w:bookmarkStart w:id="2" w:name="_Hlk104810503"/>
    <w:r w:rsidRPr="005737E7">
      <w:rPr>
        <w:sz w:val="21"/>
      </w:rPr>
      <w:t>Specyfikacja Techniczna Wykonania i Odbioru Robót</w:t>
    </w:r>
  </w:p>
  <w:p w14:paraId="79E0AB0F" w14:textId="63707DBC" w:rsidR="005737E7" w:rsidRPr="005737E7" w:rsidRDefault="005737E7" w:rsidP="005737E7">
    <w:pPr>
      <w:spacing w:after="0" w:line="259" w:lineRule="auto"/>
      <w:ind w:left="0" w:right="64" w:firstLine="0"/>
      <w:jc w:val="center"/>
      <w:rPr>
        <w:sz w:val="21"/>
      </w:rPr>
    </w:pPr>
    <w:r w:rsidRPr="005737E7">
      <w:rPr>
        <w:sz w:val="21"/>
      </w:rPr>
      <w:t xml:space="preserve">                                             </w:t>
    </w:r>
    <w:bookmarkStart w:id="3" w:name="_Hlk135993564"/>
    <w:bookmarkStart w:id="4" w:name="_Hlk135993783"/>
    <w:r w:rsidR="00E209EC">
      <w:rPr>
        <w:sz w:val="21"/>
      </w:rPr>
      <w:t>Budowa budynku mieszkalnego wielorodzinnego</w:t>
    </w:r>
    <w:bookmarkEnd w:id="3"/>
    <w:bookmarkEnd w:id="4"/>
    <w:r w:rsidR="00E209EC">
      <w:rPr>
        <w:sz w:val="21"/>
      </w:rPr>
      <w:t xml:space="preserve">                                 </w:t>
    </w:r>
    <w:r w:rsidRPr="005737E7">
      <w:rPr>
        <w:sz w:val="21"/>
      </w:rPr>
      <w:t>SST 1</w:t>
    </w:r>
    <w:r w:rsidR="004E1786">
      <w:rPr>
        <w:sz w:val="21"/>
      </w:rPr>
      <w:t>2</w:t>
    </w:r>
    <w:r w:rsidRPr="005737E7">
      <w:rPr>
        <w:sz w:val="21"/>
      </w:rPr>
      <w:t>.0</w:t>
    </w:r>
  </w:p>
  <w:bookmarkEnd w:id="2"/>
  <w:p w14:paraId="67A3F832" w14:textId="02EEF907" w:rsidR="005737E7" w:rsidRDefault="005737E7">
    <w:pPr>
      <w:pStyle w:val="Nagwek"/>
    </w:pPr>
  </w:p>
  <w:p w14:paraId="2C8E9440" w14:textId="77777777" w:rsidR="005737E7" w:rsidRDefault="00573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825"/>
    <w:multiLevelType w:val="multilevel"/>
    <w:tmpl w:val="6982FB24"/>
    <w:lvl w:ilvl="0">
      <w:start w:val="3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127BAE"/>
    <w:multiLevelType w:val="multilevel"/>
    <w:tmpl w:val="BDECC212"/>
    <w:lvl w:ilvl="0">
      <w:start w:val="6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BB5A4F"/>
    <w:multiLevelType w:val="multilevel"/>
    <w:tmpl w:val="AF388C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6705B6"/>
    <w:multiLevelType w:val="multilevel"/>
    <w:tmpl w:val="0AA4961A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2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365978"/>
    <w:multiLevelType w:val="hybridMultilevel"/>
    <w:tmpl w:val="ED905BC6"/>
    <w:lvl w:ilvl="0" w:tplc="20F234FA">
      <w:start w:val="5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9E65A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50D73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6CE1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FEE6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06F0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5082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7E38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68B69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F96901"/>
    <w:multiLevelType w:val="multilevel"/>
    <w:tmpl w:val="4B289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AD41C4"/>
    <w:multiLevelType w:val="multilevel"/>
    <w:tmpl w:val="8BBE8B18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7F2584"/>
    <w:multiLevelType w:val="hybridMultilevel"/>
    <w:tmpl w:val="EF1CAA84"/>
    <w:lvl w:ilvl="0" w:tplc="09160264">
      <w:start w:val="1"/>
      <w:numFmt w:val="lowerLetter"/>
      <w:lvlText w:val="%1)"/>
      <w:lvlJc w:val="left"/>
      <w:pPr>
        <w:ind w:left="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0284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5EAA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0EA7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98B5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EE1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D275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6409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0241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E91D25"/>
    <w:multiLevelType w:val="multilevel"/>
    <w:tmpl w:val="85A224F0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8A06150"/>
    <w:multiLevelType w:val="hybridMultilevel"/>
    <w:tmpl w:val="EEF4AAE4"/>
    <w:lvl w:ilvl="0" w:tplc="9A28600C">
      <w:start w:val="1"/>
      <w:numFmt w:val="lowerLetter"/>
      <w:lvlText w:val="%1)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AA42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0071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F6764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78F0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8246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A02E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D8E2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F2D4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F64CB6"/>
    <w:multiLevelType w:val="multilevel"/>
    <w:tmpl w:val="5F387CB4"/>
    <w:lvl w:ilvl="0">
      <w:start w:val="1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4454B1"/>
    <w:multiLevelType w:val="hybridMultilevel"/>
    <w:tmpl w:val="A74A4302"/>
    <w:lvl w:ilvl="0" w:tplc="0276C2B2">
      <w:start w:val="1"/>
      <w:numFmt w:val="lowerLetter"/>
      <w:lvlText w:val="%1)"/>
      <w:lvlJc w:val="left"/>
      <w:pPr>
        <w:ind w:left="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F8D3EC">
      <w:start w:val="1"/>
      <w:numFmt w:val="bullet"/>
      <w:lvlText w:val="–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D6373C">
      <w:start w:val="1"/>
      <w:numFmt w:val="bullet"/>
      <w:lvlText w:val="▪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6818C6">
      <w:start w:val="1"/>
      <w:numFmt w:val="bullet"/>
      <w:lvlText w:val="•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7C98CE">
      <w:start w:val="1"/>
      <w:numFmt w:val="bullet"/>
      <w:lvlText w:val="o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989BC8">
      <w:start w:val="1"/>
      <w:numFmt w:val="bullet"/>
      <w:lvlText w:val="▪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F29CC4">
      <w:start w:val="1"/>
      <w:numFmt w:val="bullet"/>
      <w:lvlText w:val="•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A45EF4">
      <w:start w:val="1"/>
      <w:numFmt w:val="bullet"/>
      <w:lvlText w:val="o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76A8D6">
      <w:start w:val="1"/>
      <w:numFmt w:val="bullet"/>
      <w:lvlText w:val="▪"/>
      <w:lvlJc w:val="left"/>
      <w:pPr>
        <w:ind w:left="5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EA97273"/>
    <w:multiLevelType w:val="hybridMultilevel"/>
    <w:tmpl w:val="E3A8468C"/>
    <w:lvl w:ilvl="0" w:tplc="DB7CD602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AC9A4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A6DE0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E6631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C0CED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9C564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2C7C7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7C85B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A4E8E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E0450F"/>
    <w:multiLevelType w:val="multilevel"/>
    <w:tmpl w:val="4A364986"/>
    <w:lvl w:ilvl="0">
      <w:start w:val="2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2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4B3F16"/>
    <w:multiLevelType w:val="multilevel"/>
    <w:tmpl w:val="F2181E68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8C30EB"/>
    <w:multiLevelType w:val="hybridMultilevel"/>
    <w:tmpl w:val="DC5E7CA4"/>
    <w:lvl w:ilvl="0" w:tplc="452874F8">
      <w:start w:val="7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89685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9429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0A78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ACD0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3620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A8F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72754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1897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3A11D7"/>
    <w:multiLevelType w:val="hybridMultilevel"/>
    <w:tmpl w:val="4D4A60EA"/>
    <w:lvl w:ilvl="0" w:tplc="62941C1C">
      <w:start w:val="1"/>
      <w:numFmt w:val="bullet"/>
      <w:lvlText w:val=""/>
      <w:lvlJc w:val="left"/>
      <w:pPr>
        <w:ind w:left="11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36E02A4">
      <w:start w:val="1"/>
      <w:numFmt w:val="bullet"/>
      <w:lvlText w:val="o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2205798">
      <w:start w:val="1"/>
      <w:numFmt w:val="bullet"/>
      <w:lvlText w:val="▪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4FC4C78">
      <w:start w:val="1"/>
      <w:numFmt w:val="bullet"/>
      <w:lvlText w:val="•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644498">
      <w:start w:val="1"/>
      <w:numFmt w:val="bullet"/>
      <w:lvlText w:val="o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7EAD870">
      <w:start w:val="1"/>
      <w:numFmt w:val="bullet"/>
      <w:lvlText w:val="▪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FFAB724">
      <w:start w:val="1"/>
      <w:numFmt w:val="bullet"/>
      <w:lvlText w:val="•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49429CA">
      <w:start w:val="1"/>
      <w:numFmt w:val="bullet"/>
      <w:lvlText w:val="o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EEA3C9C">
      <w:start w:val="1"/>
      <w:numFmt w:val="bullet"/>
      <w:lvlText w:val="▪"/>
      <w:lvlJc w:val="left"/>
      <w:pPr>
        <w:ind w:left="6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204069F"/>
    <w:multiLevelType w:val="hybridMultilevel"/>
    <w:tmpl w:val="650E2988"/>
    <w:lvl w:ilvl="0" w:tplc="BF9E80E0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00642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5A10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C415A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3AAB1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521F9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482A8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FA854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34EB1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68E22FB"/>
    <w:multiLevelType w:val="hybridMultilevel"/>
    <w:tmpl w:val="73CA85D0"/>
    <w:lvl w:ilvl="0" w:tplc="E7CE760E">
      <w:start w:val="1"/>
      <w:numFmt w:val="decimal"/>
      <w:lvlText w:val="%1)"/>
      <w:lvlJc w:val="left"/>
      <w:pPr>
        <w:ind w:left="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6262B4">
      <w:start w:val="1"/>
      <w:numFmt w:val="bullet"/>
      <w:lvlText w:val="–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2FA6">
      <w:start w:val="1"/>
      <w:numFmt w:val="bullet"/>
      <w:lvlText w:val="▪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7A7D40">
      <w:start w:val="1"/>
      <w:numFmt w:val="bullet"/>
      <w:lvlText w:val="•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0CCAE2">
      <w:start w:val="1"/>
      <w:numFmt w:val="bullet"/>
      <w:lvlText w:val="o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FCDF74">
      <w:start w:val="1"/>
      <w:numFmt w:val="bullet"/>
      <w:lvlText w:val="▪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5CEE">
      <w:start w:val="1"/>
      <w:numFmt w:val="bullet"/>
      <w:lvlText w:val="•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E828D2">
      <w:start w:val="1"/>
      <w:numFmt w:val="bullet"/>
      <w:lvlText w:val="o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28DB68">
      <w:start w:val="1"/>
      <w:numFmt w:val="bullet"/>
      <w:lvlText w:val="▪"/>
      <w:lvlJc w:val="left"/>
      <w:pPr>
        <w:ind w:left="5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E00AB2"/>
    <w:multiLevelType w:val="multilevel"/>
    <w:tmpl w:val="102009E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6"/>
      <w:numFmt w:val="decimal"/>
      <w:lvlRestart w:val="0"/>
      <w:lvlText w:val="%1.%2.%3.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F93B39"/>
    <w:multiLevelType w:val="hybridMultilevel"/>
    <w:tmpl w:val="53181956"/>
    <w:lvl w:ilvl="0" w:tplc="46A6AFDA">
      <w:start w:val="1"/>
      <w:numFmt w:val="lowerLetter"/>
      <w:lvlText w:val="%1)"/>
      <w:lvlJc w:val="left"/>
      <w:pPr>
        <w:ind w:left="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EC7C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2EC2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96A4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9AE1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6800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76A0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DC15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56A3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0A1EB8"/>
    <w:multiLevelType w:val="multilevel"/>
    <w:tmpl w:val="D86AFD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FF0000"/>
      </w:rPr>
    </w:lvl>
  </w:abstractNum>
  <w:abstractNum w:abstractNumId="22" w15:restartNumberingAfterBreak="0">
    <w:nsid w:val="48BD459A"/>
    <w:multiLevelType w:val="multilevel"/>
    <w:tmpl w:val="E40AD91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E24928"/>
    <w:multiLevelType w:val="hybridMultilevel"/>
    <w:tmpl w:val="388E1864"/>
    <w:lvl w:ilvl="0" w:tplc="1D4419B6">
      <w:start w:val="9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ABA99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26B6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EE93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6DA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324C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A84E0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FE67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14B9E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AD0B78"/>
    <w:multiLevelType w:val="multilevel"/>
    <w:tmpl w:val="9D4608D4"/>
    <w:lvl w:ilvl="0">
      <w:start w:val="8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Calibri" w:eastAsia="Calibri" w:hAnsi="Calibri" w:cs="Calibri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DC4AF9"/>
    <w:multiLevelType w:val="multilevel"/>
    <w:tmpl w:val="058AD2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A2B6464"/>
    <w:multiLevelType w:val="multilevel"/>
    <w:tmpl w:val="58AE8C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FFF033E"/>
    <w:multiLevelType w:val="hybridMultilevel"/>
    <w:tmpl w:val="2BC2FF84"/>
    <w:lvl w:ilvl="0" w:tplc="36C6C3EC">
      <w:start w:val="1"/>
      <w:numFmt w:val="decimal"/>
      <w:lvlText w:val="%1)"/>
      <w:lvlJc w:val="left"/>
      <w:pPr>
        <w:ind w:left="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4A496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0EC3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0EB5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3C21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1835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0A73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BA77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E077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2871348"/>
    <w:multiLevelType w:val="hybridMultilevel"/>
    <w:tmpl w:val="EF1A6CE4"/>
    <w:lvl w:ilvl="0" w:tplc="C3681238">
      <w:start w:val="1"/>
      <w:numFmt w:val="lowerLetter"/>
      <w:lvlText w:val="%1)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A75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385B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E60C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0493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470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A86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F8F1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3049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2B505AB"/>
    <w:multiLevelType w:val="hybridMultilevel"/>
    <w:tmpl w:val="1BD871A8"/>
    <w:lvl w:ilvl="0" w:tplc="D3DC36D2">
      <w:start w:val="1"/>
      <w:numFmt w:val="lowerLetter"/>
      <w:lvlText w:val="%1)"/>
      <w:lvlJc w:val="left"/>
      <w:pPr>
        <w:ind w:left="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702A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BE10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06B6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FEC6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3E37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AC9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564A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3651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B8F1705"/>
    <w:multiLevelType w:val="hybridMultilevel"/>
    <w:tmpl w:val="B7F48268"/>
    <w:lvl w:ilvl="0" w:tplc="33C0A0FA">
      <w:start w:val="1"/>
      <w:numFmt w:val="lowerLetter"/>
      <w:lvlText w:val="%1)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F0A2C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CC93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1E93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1A24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962D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D8DA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FAD3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9806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354819"/>
    <w:multiLevelType w:val="multilevel"/>
    <w:tmpl w:val="F72E6798"/>
    <w:lvl w:ilvl="0">
      <w:start w:val="1"/>
      <w:numFmt w:val="decimal"/>
      <w:lvlText w:val="%1."/>
      <w:lvlJc w:val="left"/>
      <w:pPr>
        <w:ind w:left="3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FF67D04"/>
    <w:multiLevelType w:val="hybridMultilevel"/>
    <w:tmpl w:val="98102506"/>
    <w:lvl w:ilvl="0" w:tplc="B0703E76">
      <w:start w:val="1"/>
      <w:numFmt w:val="decimal"/>
      <w:lvlText w:val="%1)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1EE8A6">
      <w:start w:val="1"/>
      <w:numFmt w:val="bullet"/>
      <w:lvlText w:val="–"/>
      <w:lvlJc w:val="left"/>
      <w:pPr>
        <w:ind w:left="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7EF994">
      <w:start w:val="1"/>
      <w:numFmt w:val="bullet"/>
      <w:lvlText w:val="▪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944E52">
      <w:start w:val="1"/>
      <w:numFmt w:val="bullet"/>
      <w:lvlText w:val="•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D4DDE6">
      <w:start w:val="1"/>
      <w:numFmt w:val="bullet"/>
      <w:lvlText w:val="o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36407E">
      <w:start w:val="1"/>
      <w:numFmt w:val="bullet"/>
      <w:lvlText w:val="▪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5073C2">
      <w:start w:val="1"/>
      <w:numFmt w:val="bullet"/>
      <w:lvlText w:val="•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0ADAE0">
      <w:start w:val="1"/>
      <w:numFmt w:val="bullet"/>
      <w:lvlText w:val="o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1CAF1E">
      <w:start w:val="1"/>
      <w:numFmt w:val="bullet"/>
      <w:lvlText w:val="▪"/>
      <w:lvlJc w:val="left"/>
      <w:pPr>
        <w:ind w:left="5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6893A75"/>
    <w:multiLevelType w:val="hybridMultilevel"/>
    <w:tmpl w:val="CCD8186A"/>
    <w:lvl w:ilvl="0" w:tplc="FCBEC660">
      <w:start w:val="1"/>
      <w:numFmt w:val="lowerLetter"/>
      <w:lvlText w:val="%1)"/>
      <w:lvlJc w:val="left"/>
      <w:pPr>
        <w:ind w:left="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66AE6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EA54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32C41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C6C8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60CB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246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12E4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0C7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843025B"/>
    <w:multiLevelType w:val="hybridMultilevel"/>
    <w:tmpl w:val="3CACE12E"/>
    <w:lvl w:ilvl="0" w:tplc="488A27BE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8230B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D4A48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877C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90EF0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4438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069B5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24DCE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26657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1A189E"/>
    <w:multiLevelType w:val="hybridMultilevel"/>
    <w:tmpl w:val="430C71E0"/>
    <w:lvl w:ilvl="0" w:tplc="25E40568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E3EE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4296C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9A3A7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74A2F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A62C7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8ECC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40C83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CE5EF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22739657">
    <w:abstractNumId w:val="10"/>
  </w:num>
  <w:num w:numId="2" w16cid:durableId="1995647375">
    <w:abstractNumId w:val="34"/>
  </w:num>
  <w:num w:numId="3" w16cid:durableId="498352392">
    <w:abstractNumId w:val="32"/>
  </w:num>
  <w:num w:numId="4" w16cid:durableId="1517227243">
    <w:abstractNumId w:val="18"/>
  </w:num>
  <w:num w:numId="5" w16cid:durableId="1427916982">
    <w:abstractNumId w:val="13"/>
  </w:num>
  <w:num w:numId="6" w16cid:durableId="543759386">
    <w:abstractNumId w:val="0"/>
  </w:num>
  <w:num w:numId="7" w16cid:durableId="1023360208">
    <w:abstractNumId w:val="27"/>
  </w:num>
  <w:num w:numId="8" w16cid:durableId="488330404">
    <w:abstractNumId w:val="4"/>
  </w:num>
  <w:num w:numId="9" w16cid:durableId="1076321435">
    <w:abstractNumId w:val="33"/>
  </w:num>
  <w:num w:numId="10" w16cid:durableId="1957133562">
    <w:abstractNumId w:val="14"/>
  </w:num>
  <w:num w:numId="11" w16cid:durableId="99230542">
    <w:abstractNumId w:val="9"/>
  </w:num>
  <w:num w:numId="12" w16cid:durableId="1893534978">
    <w:abstractNumId w:val="8"/>
  </w:num>
  <w:num w:numId="13" w16cid:durableId="1963460407">
    <w:abstractNumId w:val="3"/>
  </w:num>
  <w:num w:numId="14" w16cid:durableId="897742784">
    <w:abstractNumId w:val="28"/>
  </w:num>
  <w:num w:numId="15" w16cid:durableId="1951669913">
    <w:abstractNumId w:val="30"/>
  </w:num>
  <w:num w:numId="16" w16cid:durableId="641931690">
    <w:abstractNumId w:val="1"/>
  </w:num>
  <w:num w:numId="17" w16cid:durableId="2125609605">
    <w:abstractNumId w:val="29"/>
  </w:num>
  <w:num w:numId="18" w16cid:durableId="1507939103">
    <w:abstractNumId w:val="20"/>
  </w:num>
  <w:num w:numId="19" w16cid:durableId="1896235899">
    <w:abstractNumId w:val="15"/>
  </w:num>
  <w:num w:numId="20" w16cid:durableId="1708337346">
    <w:abstractNumId w:val="12"/>
  </w:num>
  <w:num w:numId="21" w16cid:durableId="320471692">
    <w:abstractNumId w:val="24"/>
  </w:num>
  <w:num w:numId="22" w16cid:durableId="2110806962">
    <w:abstractNumId w:val="7"/>
  </w:num>
  <w:num w:numId="23" w16cid:durableId="639501384">
    <w:abstractNumId w:val="11"/>
  </w:num>
  <w:num w:numId="24" w16cid:durableId="17969618">
    <w:abstractNumId w:val="19"/>
  </w:num>
  <w:num w:numId="25" w16cid:durableId="182525007">
    <w:abstractNumId w:val="35"/>
  </w:num>
  <w:num w:numId="26" w16cid:durableId="874082941">
    <w:abstractNumId w:val="6"/>
  </w:num>
  <w:num w:numId="27" w16cid:durableId="356930235">
    <w:abstractNumId w:val="22"/>
  </w:num>
  <w:num w:numId="28" w16cid:durableId="1039891429">
    <w:abstractNumId w:val="23"/>
  </w:num>
  <w:num w:numId="29" w16cid:durableId="1368483791">
    <w:abstractNumId w:val="17"/>
  </w:num>
  <w:num w:numId="30" w16cid:durableId="410466797">
    <w:abstractNumId w:val="31"/>
  </w:num>
  <w:num w:numId="31" w16cid:durableId="433089755">
    <w:abstractNumId w:val="16"/>
  </w:num>
  <w:num w:numId="32" w16cid:durableId="811288617">
    <w:abstractNumId w:val="26"/>
  </w:num>
  <w:num w:numId="33" w16cid:durableId="161162968">
    <w:abstractNumId w:val="25"/>
  </w:num>
  <w:num w:numId="34" w16cid:durableId="1168137807">
    <w:abstractNumId w:val="5"/>
  </w:num>
  <w:num w:numId="35" w16cid:durableId="233391631">
    <w:abstractNumId w:val="2"/>
  </w:num>
  <w:num w:numId="36" w16cid:durableId="10888458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2E"/>
    <w:rsid w:val="000710F6"/>
    <w:rsid w:val="0021318A"/>
    <w:rsid w:val="00262765"/>
    <w:rsid w:val="002637C2"/>
    <w:rsid w:val="00281C7C"/>
    <w:rsid w:val="003F5861"/>
    <w:rsid w:val="004E1786"/>
    <w:rsid w:val="004E1884"/>
    <w:rsid w:val="005737E7"/>
    <w:rsid w:val="005A4804"/>
    <w:rsid w:val="00682165"/>
    <w:rsid w:val="00693CB2"/>
    <w:rsid w:val="006E293F"/>
    <w:rsid w:val="006F6140"/>
    <w:rsid w:val="00701FAC"/>
    <w:rsid w:val="0072127D"/>
    <w:rsid w:val="007538B6"/>
    <w:rsid w:val="007F28BC"/>
    <w:rsid w:val="007F7606"/>
    <w:rsid w:val="00800F44"/>
    <w:rsid w:val="00840359"/>
    <w:rsid w:val="00844D61"/>
    <w:rsid w:val="008C00F2"/>
    <w:rsid w:val="00AD561C"/>
    <w:rsid w:val="00B17EFC"/>
    <w:rsid w:val="00B3062E"/>
    <w:rsid w:val="00B5645E"/>
    <w:rsid w:val="00C65B42"/>
    <w:rsid w:val="00CD2E16"/>
    <w:rsid w:val="00D051F8"/>
    <w:rsid w:val="00DD2561"/>
    <w:rsid w:val="00E209EC"/>
    <w:rsid w:val="00E373C7"/>
    <w:rsid w:val="00F4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1B0C3"/>
  <w15:docId w15:val="{DA8CA543-9CB1-4758-87FB-DCEC90BE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9" w:line="265" w:lineRule="auto"/>
      <w:ind w:left="1090" w:right="1192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7E7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800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047AE-B9B1-404F-944A-5D24FAA9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</Pages>
  <Words>3181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22228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8</cp:revision>
  <dcterms:created xsi:type="dcterms:W3CDTF">2022-07-11T11:09:00Z</dcterms:created>
  <dcterms:modified xsi:type="dcterms:W3CDTF">2024-03-20T12:59:00Z</dcterms:modified>
</cp:coreProperties>
</file>