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r w:rsidR="00174CD1">
        <w:rPr>
          <w:rFonts w:ascii="Times New Roman" w:eastAsia="Times New Roman" w:hAnsi="Times New Roman" w:cs="Times New Roman"/>
          <w:b/>
          <w:sz w:val="24"/>
          <w:szCs w:val="24"/>
          <w:lang w:eastAsia="ar-SA"/>
        </w:rPr>
        <w:t>Naprawa hydrantów wewnętrznych i zewnętrznych na terenie administrowanych kompleksów (m. Słupsk, m. Redzikowo, m. Chojnice, m. Wicko Mor</w:t>
      </w:r>
      <w:r w:rsidR="00167429">
        <w:rPr>
          <w:rFonts w:ascii="Times New Roman" w:eastAsia="Times New Roman" w:hAnsi="Times New Roman" w:cs="Times New Roman"/>
          <w:b/>
          <w:sz w:val="24"/>
          <w:szCs w:val="24"/>
          <w:lang w:eastAsia="ar-SA"/>
        </w:rPr>
        <w:t>s</w:t>
      </w:r>
      <w:r w:rsidR="00174CD1">
        <w:rPr>
          <w:rFonts w:ascii="Times New Roman" w:eastAsia="Times New Roman" w:hAnsi="Times New Roman" w:cs="Times New Roman"/>
          <w:b/>
          <w:sz w:val="24"/>
          <w:szCs w:val="24"/>
          <w:lang w:eastAsia="ar-SA"/>
        </w:rPr>
        <w:t>kie).</w:t>
      </w:r>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A66942" w:rsidRDefault="00E373DD" w:rsidP="00A66942">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A66942" w:rsidRDefault="00174CD1" w:rsidP="00A66942">
      <w:pPr>
        <w:widowControl w:val="0"/>
        <w:autoSpaceDE w:val="0"/>
        <w:autoSpaceDN w:val="0"/>
        <w:spacing w:before="97"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KIERWONIK ZAMAWIAJĄCEGO</w:t>
      </w:r>
    </w:p>
    <w:p w:rsidR="00E373DD" w:rsidRPr="00A66942" w:rsidRDefault="00E373DD" w:rsidP="00A66942">
      <w:pPr>
        <w:widowControl w:val="0"/>
        <w:autoSpaceDE w:val="0"/>
        <w:autoSpaceDN w:val="0"/>
        <w:spacing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A66942">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A66942">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174CD1" w:rsidP="00A66942">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AA537C">
        <w:rPr>
          <w:rFonts w:ascii="Times New Roman" w:eastAsia="Times New Roman" w:hAnsi="Times New Roman" w:cs="Times New Roman"/>
          <w:sz w:val="24"/>
          <w:szCs w:val="24"/>
          <w:lang w:eastAsia="pl-PL" w:bidi="pl-PL"/>
        </w:rPr>
        <w:t>/-/</w:t>
      </w:r>
      <w:r>
        <w:rPr>
          <w:rFonts w:ascii="Times New Roman" w:eastAsia="Times New Roman" w:hAnsi="Times New Roman" w:cs="Times New Roman"/>
          <w:sz w:val="24"/>
          <w:szCs w:val="24"/>
          <w:lang w:eastAsia="pl-PL" w:bidi="pl-PL"/>
        </w:rPr>
        <w:t xml:space="preserve"> płk Bogusław ŚLIWIŃSKI</w:t>
      </w:r>
      <w:r w:rsidR="000579A8">
        <w:rPr>
          <w:rFonts w:ascii="Times New Roman" w:eastAsia="Times New Roman" w:hAnsi="Times New Roman" w:cs="Times New Roman"/>
          <w:sz w:val="24"/>
          <w:szCs w:val="24"/>
          <w:lang w:eastAsia="pl-PL" w:bidi="pl-PL"/>
        </w:rPr>
        <w:t xml:space="preserve"> </w:t>
      </w:r>
    </w:p>
    <w:p w:rsidR="000A6EBC" w:rsidRPr="000A6EBC" w:rsidRDefault="000A6EBC" w:rsidP="00A66942">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A66942">
      <w:pPr>
        <w:widowControl w:val="0"/>
        <w:autoSpaceDE w:val="0"/>
        <w:autoSpaceDN w:val="0"/>
        <w:spacing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8E3181" w:rsidRDefault="00AA537C" w:rsidP="00817D61">
      <w:pPr>
        <w:suppressAutoHyphens/>
        <w:spacing w:before="6" w:after="0" w:line="240" w:lineRule="auto"/>
        <w:ind w:left="6521" w:hanging="652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Dnia, 24 </w:t>
      </w:r>
      <w:r w:rsidR="000579A8">
        <w:rPr>
          <w:rFonts w:ascii="Times New Roman" w:eastAsia="Times New Roman" w:hAnsi="Times New Roman" w:cs="Times New Roman"/>
          <w:sz w:val="24"/>
          <w:szCs w:val="24"/>
          <w:lang w:eastAsia="ar-SA"/>
        </w:rPr>
        <w:t>marca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0579A8">
        <w:rPr>
          <w:rFonts w:ascii="Times New Roman" w:eastAsia="Times New Roman" w:hAnsi="Times New Roman" w:cs="Times New Roman"/>
          <w:sz w:val="24"/>
          <w:szCs w:val="24"/>
          <w:lang w:eastAsia="ar-SA"/>
        </w:rPr>
        <w:t>5</w:t>
      </w:r>
      <w:r w:rsidR="0092114C" w:rsidRPr="008E3181">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8902F7">
        <w:rPr>
          <w:rFonts w:ascii="Times New Roman" w:eastAsia="Times New Roman" w:hAnsi="Times New Roman" w:cs="Times New Roman"/>
          <w:b/>
          <w:bCs/>
          <w:sz w:val="24"/>
          <w:szCs w:val="24"/>
          <w:lang w:eastAsia="ar-SA"/>
        </w:rPr>
        <w:t>824</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C13368"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w:t>
      </w:r>
      <w:r w:rsidR="00174CD1" w:rsidRPr="00174CD1">
        <w:rPr>
          <w:rFonts w:ascii="Times New Roman" w:eastAsia="Times New Roman" w:hAnsi="Times New Roman" w:cs="Times New Roman"/>
          <w:b/>
          <w:color w:val="000000"/>
          <w:sz w:val="24"/>
          <w:szCs w:val="24"/>
          <w:lang w:eastAsia="pl-PL"/>
        </w:rPr>
        <w:t>bez</w:t>
      </w:r>
      <w:r w:rsidR="00174CD1">
        <w:rPr>
          <w:rFonts w:ascii="Times New Roman" w:eastAsia="Times New Roman" w:hAnsi="Times New Roman" w:cs="Times New Roman"/>
          <w:color w:val="000000"/>
          <w:sz w:val="24"/>
          <w:szCs w:val="24"/>
          <w:lang w:eastAsia="pl-PL"/>
        </w:rPr>
        <w:t xml:space="preserve"> </w:t>
      </w:r>
      <w:r w:rsidR="00174CD1" w:rsidRPr="00174CD1">
        <w:rPr>
          <w:rFonts w:ascii="Times New Roman" w:eastAsia="Times New Roman" w:hAnsi="Times New Roman" w:cs="Times New Roman"/>
          <w:b/>
          <w:color w:val="000000"/>
          <w:sz w:val="24"/>
          <w:szCs w:val="24"/>
          <w:lang w:eastAsia="pl-PL"/>
        </w:rPr>
        <w:t>negocjacji</w:t>
      </w:r>
      <w:r w:rsidR="00174CD1">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color w:val="000000"/>
          <w:sz w:val="24"/>
          <w:szCs w:val="24"/>
          <w:lang w:eastAsia="pl-PL"/>
        </w:rPr>
        <w:t>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Pr="006732DC" w:rsidRDefault="007350E9" w:rsidP="006732DC">
      <w:pPr>
        <w:spacing w:after="120"/>
        <w:jc w:val="both"/>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color w:val="000000"/>
          <w:sz w:val="24"/>
          <w:szCs w:val="24"/>
          <w:lang w:eastAsia="ar-SA"/>
        </w:rPr>
        <w:t>Przedmiotem zamówienia</w:t>
      </w:r>
      <w:r w:rsidR="00D66A1A">
        <w:rPr>
          <w:rFonts w:ascii="Times New Roman" w:eastAsia="Times New Roman" w:hAnsi="Times New Roman" w:cs="Times New Roman"/>
          <w:color w:val="000000"/>
          <w:sz w:val="24"/>
          <w:szCs w:val="24"/>
          <w:lang w:eastAsia="ar-SA"/>
        </w:rPr>
        <w:t xml:space="preserve"> </w:t>
      </w:r>
      <w:r w:rsidR="008902F7">
        <w:rPr>
          <w:rFonts w:ascii="Times New Roman" w:eastAsia="Times New Roman" w:hAnsi="Times New Roman" w:cs="Times New Roman"/>
          <w:color w:val="000000"/>
          <w:sz w:val="24"/>
          <w:szCs w:val="24"/>
          <w:lang w:eastAsia="ar-SA"/>
        </w:rPr>
        <w:t>jest</w:t>
      </w:r>
      <w:r w:rsidR="00D66A1A">
        <w:rPr>
          <w:rFonts w:ascii="Times New Roman" w:eastAsia="Times New Roman" w:hAnsi="Times New Roman" w:cs="Times New Roman"/>
          <w:color w:val="000000"/>
          <w:sz w:val="24"/>
          <w:szCs w:val="24"/>
          <w:lang w:eastAsia="ar-SA"/>
        </w:rPr>
        <w:t xml:space="preserve">: </w:t>
      </w:r>
      <w:r w:rsidR="00174CD1">
        <w:rPr>
          <w:rFonts w:ascii="Times New Roman" w:eastAsia="Times New Roman" w:hAnsi="Times New Roman" w:cs="Times New Roman"/>
          <w:b/>
          <w:sz w:val="24"/>
          <w:szCs w:val="24"/>
          <w:lang w:eastAsia="ar-SA"/>
        </w:rPr>
        <w:t>Naprawa hydrantów wewnętrznych i zewnętrznych na terenie administrowanych kompleksów (m. Słupsk, m. Redzikowo, m. Chojnice, m. Wicko Mor</w:t>
      </w:r>
      <w:r w:rsidR="00DD2DDD">
        <w:rPr>
          <w:rFonts w:ascii="Times New Roman" w:eastAsia="Times New Roman" w:hAnsi="Times New Roman" w:cs="Times New Roman"/>
          <w:b/>
          <w:sz w:val="24"/>
          <w:szCs w:val="24"/>
          <w:lang w:eastAsia="ar-SA"/>
        </w:rPr>
        <w:t>s</w:t>
      </w:r>
      <w:r w:rsidR="00174CD1">
        <w:rPr>
          <w:rFonts w:ascii="Times New Roman" w:eastAsia="Times New Roman" w:hAnsi="Times New Roman" w:cs="Times New Roman"/>
          <w:b/>
          <w:sz w:val="24"/>
          <w:szCs w:val="24"/>
          <w:lang w:eastAsia="ar-SA"/>
        </w:rPr>
        <w:t>kie)</w:t>
      </w:r>
      <w:r w:rsidR="000579A8">
        <w:rPr>
          <w:rFonts w:ascii="Times New Roman" w:eastAsia="Times New Roman" w:hAnsi="Times New Roman" w:cs="Times New Roman"/>
          <w:b/>
          <w:color w:val="000000"/>
          <w:sz w:val="24"/>
          <w:szCs w:val="24"/>
          <w:lang w:eastAsia="ar-SA"/>
        </w:rPr>
        <w:t>.</w:t>
      </w:r>
      <w:r w:rsidR="00D66A1A">
        <w:rPr>
          <w:rFonts w:ascii="Times New Roman" w:eastAsia="Times New Roman" w:hAnsi="Times New Roman" w:cs="Times New Roman"/>
          <w:b/>
          <w:sz w:val="24"/>
          <w:szCs w:val="24"/>
          <w:lang w:eastAsia="ar-SA"/>
        </w:rPr>
        <w:t xml:space="preserve"> </w:t>
      </w:r>
    </w:p>
    <w:p w:rsidR="002D019A" w:rsidRDefault="002D019A" w:rsidP="00F47BDE">
      <w:pPr>
        <w:spacing w:after="0" w:line="240" w:lineRule="auto"/>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Kod CPV</w:t>
      </w:r>
      <w:r w:rsidR="00A93663">
        <w:rPr>
          <w:rFonts w:ascii="Times New Roman" w:eastAsia="Times New Roman" w:hAnsi="Times New Roman" w:cs="Times New Roman"/>
          <w:sz w:val="24"/>
          <w:szCs w:val="24"/>
          <w:lang w:eastAsia="pl-PL"/>
        </w:rPr>
        <w:t>:</w:t>
      </w:r>
    </w:p>
    <w:p w:rsidR="00CD62CB" w:rsidRDefault="00CD62CB" w:rsidP="000579A8">
      <w:pPr>
        <w:spacing w:after="0" w:line="240" w:lineRule="auto"/>
        <w:jc w:val="both"/>
        <w:rPr>
          <w:rFonts w:ascii="Times New Roman" w:eastAsia="Times New Roman" w:hAnsi="Times New Roman" w:cs="Times New Roman"/>
          <w:sz w:val="24"/>
          <w:szCs w:val="24"/>
          <w:lang w:eastAsia="pl-PL"/>
        </w:rPr>
      </w:pPr>
    </w:p>
    <w:p w:rsidR="00CD62CB" w:rsidRDefault="00174CD1" w:rsidP="000579A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50000000-5</w:t>
      </w:r>
      <w:r w:rsidR="00A669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Usługi naprawcze i konserwacyjne; </w:t>
      </w:r>
    </w:p>
    <w:p w:rsidR="009B18FB" w:rsidRDefault="00174CD1" w:rsidP="000579A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45231300-8</w:t>
      </w:r>
      <w:r w:rsidR="00CD62C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C258C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Roboty budowlane w zakresie budowy wodociągów i rurociągów                                       do odprowadzania ścieków. </w:t>
      </w:r>
      <w:r w:rsidR="00A66942">
        <w:rPr>
          <w:rFonts w:ascii="Times New Roman" w:eastAsia="Times New Roman" w:hAnsi="Times New Roman" w:cs="Times New Roman"/>
          <w:sz w:val="24"/>
          <w:szCs w:val="24"/>
          <w:lang w:eastAsia="pl-PL"/>
        </w:rPr>
        <w:t xml:space="preserve"> </w:t>
      </w:r>
    </w:p>
    <w:p w:rsidR="000579A8" w:rsidRDefault="000579A8" w:rsidP="000579A8">
      <w:pPr>
        <w:spacing w:after="0" w:line="240" w:lineRule="auto"/>
        <w:jc w:val="both"/>
        <w:rPr>
          <w:rFonts w:ascii="Times New Roman" w:eastAsia="Times New Roman" w:hAnsi="Times New Roman" w:cs="Times New Roman"/>
          <w:color w:val="000000" w:themeColor="text1"/>
          <w:sz w:val="24"/>
          <w:szCs w:val="24"/>
          <w:lang w:eastAsia="pl-PL"/>
        </w:rPr>
      </w:pPr>
    </w:p>
    <w:p w:rsidR="000579A8" w:rsidRPr="009B18FB" w:rsidRDefault="000579A8" w:rsidP="000579A8">
      <w:pPr>
        <w:spacing w:after="0" w:line="240"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sz w:val="24"/>
          <w:szCs w:val="24"/>
          <w:lang w:eastAsia="pl-PL"/>
        </w:rPr>
        <w:t xml:space="preserve">Szczegółowe zakresy prac do wykonania określa przedmiar robót, specyfikacja techniczna wykonania i odbioru robót budowlanych, które stanowią </w:t>
      </w:r>
      <w:r w:rsidRPr="009B18FB">
        <w:rPr>
          <w:rFonts w:ascii="Times New Roman" w:eastAsia="Times New Roman" w:hAnsi="Times New Roman" w:cs="Times New Roman"/>
          <w:b/>
          <w:sz w:val="24"/>
          <w:szCs w:val="24"/>
          <w:lang w:eastAsia="pl-PL"/>
        </w:rPr>
        <w:t>załąc</w:t>
      </w:r>
      <w:r w:rsidR="00533738">
        <w:rPr>
          <w:rFonts w:ascii="Times New Roman" w:eastAsia="Times New Roman" w:hAnsi="Times New Roman" w:cs="Times New Roman"/>
          <w:b/>
          <w:sz w:val="24"/>
          <w:szCs w:val="24"/>
          <w:lang w:eastAsia="pl-PL"/>
        </w:rPr>
        <w:t>znik 3</w:t>
      </w:r>
      <w:r w:rsidR="009B18FB" w:rsidRPr="009B18FB">
        <w:rPr>
          <w:rFonts w:ascii="Times New Roman" w:eastAsia="Times New Roman" w:hAnsi="Times New Roman" w:cs="Times New Roman"/>
          <w:b/>
          <w:sz w:val="24"/>
          <w:szCs w:val="24"/>
          <w:lang w:eastAsia="pl-PL"/>
        </w:rPr>
        <w:t xml:space="preserve"> i </w:t>
      </w:r>
      <w:r w:rsidR="00533738">
        <w:rPr>
          <w:rFonts w:ascii="Times New Roman" w:eastAsia="Times New Roman" w:hAnsi="Times New Roman" w:cs="Times New Roman"/>
          <w:b/>
          <w:sz w:val="24"/>
          <w:szCs w:val="24"/>
          <w:lang w:eastAsia="pl-PL"/>
        </w:rPr>
        <w:t>4</w:t>
      </w:r>
      <w:r w:rsidR="009B18FB" w:rsidRPr="009B18FB">
        <w:rPr>
          <w:rFonts w:ascii="Times New Roman" w:eastAsia="Times New Roman" w:hAnsi="Times New Roman" w:cs="Times New Roman"/>
          <w:b/>
          <w:sz w:val="24"/>
          <w:szCs w:val="24"/>
          <w:lang w:eastAsia="pl-PL"/>
        </w:rPr>
        <w:t xml:space="preserve"> do </w:t>
      </w:r>
      <w:r w:rsidRPr="009B18FB">
        <w:rPr>
          <w:rFonts w:ascii="Times New Roman" w:eastAsia="Times New Roman" w:hAnsi="Times New Roman" w:cs="Times New Roman"/>
          <w:b/>
          <w:sz w:val="24"/>
          <w:szCs w:val="24"/>
          <w:lang w:eastAsia="pl-PL"/>
        </w:rPr>
        <w:t>SWZ.</w:t>
      </w:r>
    </w:p>
    <w:p w:rsidR="000579A8" w:rsidRPr="003663CF" w:rsidRDefault="000579A8" w:rsidP="000579A8">
      <w:pPr>
        <w:spacing w:after="0" w:line="240" w:lineRule="auto"/>
        <w:jc w:val="both"/>
        <w:rPr>
          <w:rFonts w:ascii="Times New Roman" w:eastAsia="Times New Roman" w:hAnsi="Times New Roman" w:cs="Times New Roman"/>
          <w:sz w:val="24"/>
          <w:szCs w:val="24"/>
          <w:lang w:eastAsia="pl-PL"/>
        </w:rPr>
      </w:pPr>
    </w:p>
    <w:p w:rsidR="000579A8" w:rsidRPr="003663CF" w:rsidRDefault="000579A8" w:rsidP="000579A8">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 xml:space="preserve">Wykonawca zobowiązany jest do wykonania przedmiotu zamówienia zgodnie </w:t>
      </w:r>
      <w:r w:rsidRPr="003663CF">
        <w:rPr>
          <w:rFonts w:ascii="Times New Roman" w:eastAsia="Times New Roman" w:hAnsi="Times New Roman" w:cs="Times New Roman"/>
          <w:sz w:val="24"/>
          <w:szCs w:val="24"/>
          <w:lang w:eastAsia="pl-PL"/>
        </w:rPr>
        <w:br/>
        <w:t>z przedmiarem robót, specyfikacją techniczną wykonania i odbioru robót budowlanych.</w:t>
      </w:r>
      <w:r w:rsidRPr="003663CF">
        <w:rPr>
          <w:rFonts w:ascii="Times New Roman" w:eastAsia="Times New Roman" w:hAnsi="Times New Roman" w:cs="Times New Roman"/>
          <w:sz w:val="24"/>
          <w:szCs w:val="24"/>
          <w:lang w:eastAsia="pl-PL"/>
        </w:rPr>
        <w:br/>
      </w:r>
    </w:p>
    <w:p w:rsidR="000579A8" w:rsidRPr="003663CF" w:rsidRDefault="000579A8" w:rsidP="000579A8">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 xml:space="preserve">Materiały, które będą użyte do wykonania robót, muszą spełniać wymagania Zamawiającego określone w przedmiarze robót oraz w specyfikacji technicznej wykonania i odbioru robót budowlanych.  </w:t>
      </w:r>
    </w:p>
    <w:p w:rsidR="00E11E49" w:rsidRPr="00E11E49" w:rsidRDefault="00E11E49" w:rsidP="00E11E49">
      <w:pPr>
        <w:spacing w:line="276" w:lineRule="auto"/>
        <w:jc w:val="both"/>
        <w:rPr>
          <w:rFonts w:ascii="Times New Roman" w:hAnsi="Times New Roman" w:cs="Times New Roman"/>
          <w:sz w:val="24"/>
          <w:szCs w:val="24"/>
        </w:rPr>
      </w:pPr>
      <w:r w:rsidRPr="00E11E49">
        <w:rPr>
          <w:rFonts w:ascii="Times New Roman" w:hAnsi="Times New Roman" w:cs="Times New Roman"/>
          <w:sz w:val="24"/>
          <w:szCs w:val="24"/>
        </w:rPr>
        <w:t xml:space="preserve">Wykonawca przesyła ofertę z ceną netto i brutto za wykonanie robót zgodnie z przedmiarem robót i specyfikacją techniczną wykonania i odbioru robót budowlanych oraz </w:t>
      </w:r>
      <w:r w:rsidRPr="00E11E49">
        <w:rPr>
          <w:rFonts w:ascii="Times New Roman" w:hAnsi="Times New Roman" w:cs="Times New Roman"/>
          <w:b/>
          <w:sz w:val="24"/>
          <w:szCs w:val="24"/>
        </w:rPr>
        <w:t>kosztorys ofertowy uproszczony</w:t>
      </w:r>
      <w:r w:rsidRPr="00E11E49">
        <w:rPr>
          <w:rFonts w:ascii="Times New Roman" w:hAnsi="Times New Roman" w:cs="Times New Roman"/>
          <w:sz w:val="24"/>
          <w:szCs w:val="24"/>
        </w:rPr>
        <w:t xml:space="preserve"> zawierający zestawienie robocizny, materiałów i sprzętu z cenami jednostkowymi i wartością. </w:t>
      </w:r>
    </w:p>
    <w:p w:rsidR="00E11E49" w:rsidRPr="00E11E49" w:rsidRDefault="00E11E49" w:rsidP="00E11E49">
      <w:pPr>
        <w:spacing w:after="120" w:line="276" w:lineRule="auto"/>
        <w:jc w:val="both"/>
        <w:rPr>
          <w:rFonts w:ascii="Times New Roman" w:hAnsi="Times New Roman" w:cs="Times New Roman"/>
          <w:sz w:val="24"/>
          <w:szCs w:val="24"/>
        </w:rPr>
      </w:pPr>
      <w:r w:rsidRPr="00E11E49">
        <w:rPr>
          <w:rFonts w:ascii="Times New Roman" w:hAnsi="Times New Roman" w:cs="Times New Roman"/>
          <w:sz w:val="24"/>
          <w:szCs w:val="24"/>
        </w:rPr>
        <w:t xml:space="preserve">Kosztorys ofertowy uproszczony należy sporządzić na podstawie przedmiaru robót </w:t>
      </w:r>
      <w:r w:rsidRPr="00E11E49">
        <w:rPr>
          <w:rFonts w:ascii="Times New Roman" w:hAnsi="Times New Roman" w:cs="Times New Roman"/>
          <w:sz w:val="24"/>
          <w:szCs w:val="24"/>
        </w:rPr>
        <w:br/>
        <w:t xml:space="preserve">i specyfikacji technicznej wykonania i odbioru robót budowlanych. </w:t>
      </w:r>
    </w:p>
    <w:p w:rsidR="000579A8" w:rsidRPr="003663CF" w:rsidRDefault="000579A8" w:rsidP="000579A8">
      <w:pPr>
        <w:spacing w:after="120" w:line="276" w:lineRule="auto"/>
        <w:jc w:val="both"/>
        <w:rPr>
          <w:rFonts w:ascii="Times New Roman" w:eastAsia="Times New Roman" w:hAnsi="Times New Roman" w:cs="Times New Roman"/>
          <w:sz w:val="24"/>
          <w:szCs w:val="24"/>
          <w:u w:val="single"/>
          <w:lang w:eastAsia="pl-PL"/>
        </w:rPr>
      </w:pPr>
      <w:r w:rsidRPr="003663CF">
        <w:rPr>
          <w:rFonts w:ascii="Times New Roman" w:hAnsi="Times New Roman" w:cs="Times New Roman"/>
          <w:sz w:val="24"/>
          <w:szCs w:val="24"/>
        </w:rPr>
        <w:t>Kosztorys musi być złożony w formie elektronicznej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0579A8" w:rsidRPr="003663CF" w:rsidRDefault="000579A8" w:rsidP="000579A8">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Wynagrodzenie za wykonanie prac jest wynagrodzeniem kosztorysowym.</w:t>
      </w:r>
    </w:p>
    <w:p w:rsidR="000579A8" w:rsidRPr="003663CF" w:rsidRDefault="000579A8" w:rsidP="000579A8">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Po wykonaniu prac komisja dokona odbioru, sporządzając protokół odbioru końcowego.</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t>
      </w:r>
      <w:r w:rsidRPr="00083485">
        <w:rPr>
          <w:rFonts w:ascii="Times New Roman" w:eastAsia="Times New Roman" w:hAnsi="Times New Roman" w:cs="Times New Roman"/>
          <w:sz w:val="24"/>
          <w:szCs w:val="24"/>
          <w:lang w:eastAsia="pl-PL"/>
        </w:rPr>
        <w:br/>
        <w:t>w szczególności: telefony komórkowe, smartfony, aparaty fotograficzne, smartwatche, kamery, tablety, laptopy, komputery.</w:t>
      </w:r>
    </w:p>
    <w:p w:rsidR="000579A8" w:rsidRPr="00083485" w:rsidRDefault="000579A8" w:rsidP="000579A8">
      <w:pPr>
        <w:spacing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Zabrania się Wykonawcy, pod rygorem odstąpienia od umowy, wykorzystywania bezzałogowych statków powietrznych typu „Dron” i innych aparatów latających nad </w:t>
      </w:r>
      <w:r w:rsidRPr="00083485">
        <w:rPr>
          <w:rFonts w:ascii="Times New Roman" w:eastAsia="Times New Roman" w:hAnsi="Times New Roman" w:cs="Times New Roman"/>
          <w:sz w:val="24"/>
          <w:szCs w:val="24"/>
          <w:lang w:eastAsia="pl-PL"/>
        </w:rPr>
        <w:br/>
        <w:t>obiektami i kompleksami wojskowymi.</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083485">
        <w:rPr>
          <w:rFonts w:ascii="Times New Roman" w:eastAsia="Times New Roman" w:hAnsi="Times New Roman" w:cs="Times New Roman"/>
          <w:sz w:val="24"/>
          <w:szCs w:val="24"/>
          <w:vertAlign w:val="superscript"/>
          <w:lang w:eastAsia="pl-PL"/>
        </w:rPr>
        <w:footnoteReference w:id="1"/>
      </w:r>
      <w:r w:rsidRPr="00083485">
        <w:rPr>
          <w:rFonts w:ascii="Times New Roman" w:eastAsia="Times New Roman" w:hAnsi="Times New Roman" w:cs="Times New Roman"/>
          <w:sz w:val="24"/>
          <w:szCs w:val="24"/>
          <w:lang w:eastAsia="pl-PL"/>
        </w:rPr>
        <w:t>.</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Wykonawca odpowiada za przestrzeganie przez swoich pracowników wewnętrznych przepisów obowiązujących na terenie jednostki (miejsca realizacji przedmiotu umowy).</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Wykonawca zobowiązany jest zachować w tajemnicy wszelkie informacje, które uzyskał </w:t>
      </w:r>
      <w:r w:rsidRPr="00083485">
        <w:rPr>
          <w:rFonts w:ascii="Times New Roman" w:eastAsia="Times New Roman" w:hAnsi="Times New Roman" w:cs="Times New Roman"/>
          <w:sz w:val="24"/>
          <w:szCs w:val="24"/>
          <w:lang w:eastAsia="pl-PL"/>
        </w:rPr>
        <w:br/>
        <w:t>w związku z realizacją przedmiotu umowy.</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Wykonawca nie wykorzysta informacji, które pozyska w ramach wykonywania zadania do publikowania ich w materiałach propagandowych i nie będzie prezentował informacji </w:t>
      </w:r>
      <w:r w:rsidRPr="00083485">
        <w:rPr>
          <w:rFonts w:ascii="Times New Roman" w:eastAsia="Times New Roman" w:hAnsi="Times New Roman" w:cs="Times New Roman"/>
          <w:sz w:val="24"/>
          <w:szCs w:val="24"/>
          <w:lang w:eastAsia="pl-PL"/>
        </w:rPr>
        <w:br/>
        <w:t>w prasie, radio, telewizji, filmie, Internecie czy prospektach reklamowych.</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lastRenderedPageBreak/>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3663CF" w:rsidRPr="003663CF" w:rsidRDefault="000579A8" w:rsidP="001312F6">
      <w:pPr>
        <w:spacing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Wykonawca podpisując umowę z Zamawiającym akceptuje powyższe zapisy i przyjmuje niniejsze ustalenia do </w:t>
      </w:r>
      <w:r w:rsidR="001312F6">
        <w:rPr>
          <w:rFonts w:ascii="Times New Roman" w:eastAsia="Times New Roman" w:hAnsi="Times New Roman" w:cs="Times New Roman"/>
          <w:sz w:val="24"/>
          <w:szCs w:val="24"/>
          <w:lang w:eastAsia="pl-PL"/>
        </w:rPr>
        <w:t>ścisłej realizacji.</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DA555F">
        <w:rPr>
          <w:rFonts w:ascii="Times New Roman" w:hAnsi="Times New Roman" w:cs="Times New Roman"/>
          <w:b/>
          <w:sz w:val="24"/>
          <w:szCs w:val="24"/>
          <w:lang w:eastAsia="pl-PL"/>
        </w:rPr>
        <w:t>30</w:t>
      </w:r>
      <w:r w:rsidR="00422910" w:rsidRPr="00ED5D88">
        <w:rPr>
          <w:rFonts w:ascii="Times New Roman" w:hAnsi="Times New Roman" w:cs="Times New Roman"/>
          <w:b/>
          <w:sz w:val="24"/>
          <w:szCs w:val="24"/>
          <w:lang w:eastAsia="pl-PL"/>
        </w:rPr>
        <w:t xml:space="preserve"> dni </w:t>
      </w:r>
      <w:r w:rsidR="003663CF">
        <w:rPr>
          <w:rFonts w:ascii="Times New Roman" w:hAnsi="Times New Roman" w:cs="Times New Roman"/>
          <w:b/>
          <w:sz w:val="24"/>
          <w:szCs w:val="24"/>
          <w:lang w:eastAsia="pl-PL"/>
        </w:rPr>
        <w:t>roboczych (od poniedziałku do piątku)</w:t>
      </w:r>
      <w:r w:rsidR="00422910" w:rsidRPr="00ED5D88">
        <w:rPr>
          <w:rFonts w:ascii="Times New Roman" w:hAnsi="Times New Roman" w:cs="Times New Roman"/>
          <w:b/>
          <w:sz w:val="24"/>
          <w:szCs w:val="24"/>
          <w:lang w:eastAsia="pl-PL"/>
        </w:rPr>
        <w:t xml:space="preserve"> </w:t>
      </w:r>
      <w:r w:rsidRPr="00ED5D88">
        <w:rPr>
          <w:rFonts w:ascii="Times New Roman" w:hAnsi="Times New Roman" w:cs="Times New Roman"/>
          <w:b/>
          <w:sz w:val="24"/>
          <w:szCs w:val="24"/>
          <w:lang w:eastAsia="pl-PL"/>
        </w:rPr>
        <w:t xml:space="preserve">od dnia </w:t>
      </w:r>
      <w:r w:rsidR="003663CF">
        <w:rPr>
          <w:rFonts w:ascii="Times New Roman" w:hAnsi="Times New Roman" w:cs="Times New Roman"/>
          <w:b/>
          <w:sz w:val="24"/>
          <w:szCs w:val="24"/>
          <w:lang w:eastAsia="pl-PL"/>
        </w:rPr>
        <w:t>przekazania/przejęcia terenu budow</w:t>
      </w:r>
      <w:r w:rsidR="00DA555F">
        <w:rPr>
          <w:rFonts w:ascii="Times New Roman" w:hAnsi="Times New Roman" w:cs="Times New Roman"/>
          <w:b/>
          <w:sz w:val="24"/>
          <w:szCs w:val="24"/>
          <w:lang w:eastAsia="pl-PL"/>
        </w:rPr>
        <w:t xml:space="preserve">y. </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5D64F2" w:rsidRDefault="005D64F2"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0"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0"/>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Default="00740B56" w:rsidP="006732DC">
      <w:pPr>
        <w:suppressAutoHyphens/>
        <w:spacing w:after="120" w:line="240" w:lineRule="auto"/>
        <w:jc w:val="both"/>
        <w:rPr>
          <w:rFonts w:ascii="Times New Roman" w:hAnsi="Times New Roman" w:cs="Times New Roman"/>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p w:rsidR="007A38E0" w:rsidRPr="006732DC" w:rsidRDefault="007A38E0" w:rsidP="006732DC">
      <w:pPr>
        <w:suppressAutoHyphens/>
        <w:spacing w:after="120" w:line="240" w:lineRule="auto"/>
        <w:jc w:val="both"/>
        <w:rPr>
          <w:rFonts w:ascii="Times New Roman" w:hAnsi="Times New Roman" w:cs="Times New Roman"/>
          <w:b/>
          <w:color w:val="000000" w:themeColor="text1"/>
          <w:sz w:val="24"/>
          <w:szCs w:val="24"/>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B51A8A" w:rsidRDefault="00B51A8A" w:rsidP="00B51A8A">
      <w:pPr>
        <w:suppressAutoHyphens/>
        <w:spacing w:after="120" w:line="240" w:lineRule="auto"/>
        <w:ind w:left="426" w:hanging="426"/>
        <w:jc w:val="both"/>
        <w:rPr>
          <w:rFonts w:ascii="Times New Roman" w:hAnsi="Times New Roman" w:cs="Times New Roman"/>
          <w:sz w:val="24"/>
          <w:szCs w:val="24"/>
        </w:rPr>
      </w:pPr>
    </w:p>
    <w:p w:rsidR="00B51A8A" w:rsidRPr="006220E0" w:rsidRDefault="00B51A8A" w:rsidP="00B51A8A">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lastRenderedPageBreak/>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B51A8A"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B51A8A" w:rsidRDefault="00B51A8A" w:rsidP="00B51A8A">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B51A8A" w:rsidRDefault="00B51A8A" w:rsidP="00B51A8A">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B51A8A" w:rsidRPr="00D77DDD" w:rsidRDefault="00B51A8A" w:rsidP="00B51A8A">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B51A8A" w:rsidRDefault="00B51A8A" w:rsidP="00B51A8A">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3663CF" w:rsidRPr="003663CF">
        <w:rPr>
          <w:rFonts w:ascii="Times New Roman" w:hAnsi="Times New Roman" w:cs="Times New Roman"/>
          <w:sz w:val="24"/>
          <w:szCs w:val="24"/>
        </w:rPr>
        <w:t>- jeżeli dotyczy.</w:t>
      </w:r>
      <w:r w:rsidR="006732DC">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lastRenderedPageBreak/>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X. Poleganie na zasobach innych podmiotów</w:t>
            </w:r>
            <w:r w:rsidR="00F474AA" w:rsidRPr="00E33808">
              <w:rPr>
                <w:rFonts w:ascii="Times New Roman" w:hAnsi="Times New Roman" w:cs="Times New Roman"/>
                <w:b/>
                <w:sz w:val="24"/>
                <w:szCs w:val="24"/>
              </w:rPr>
              <w:t xml:space="preserve"> </w:t>
            </w:r>
            <w:r w:rsidR="00840973">
              <w:rPr>
                <w:rFonts w:ascii="Times New Roman" w:hAnsi="Times New Roman" w:cs="Times New Roman"/>
                <w:b/>
                <w:sz w:val="24"/>
                <w:szCs w:val="24"/>
              </w:rPr>
              <w:t xml:space="preserve">– </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3A7117" w:rsidRDefault="00740B56" w:rsidP="003A7117">
      <w:pPr>
        <w:spacing w:after="0" w:line="240" w:lineRule="auto"/>
        <w:jc w:val="both"/>
        <w:rPr>
          <w:rFonts w:ascii="Times New Roman" w:eastAsia="Times New Roman" w:hAnsi="Times New Roman" w:cs="Times New Roman"/>
          <w:sz w:val="24"/>
          <w:szCs w:val="24"/>
          <w:u w:val="single"/>
          <w:lang w:eastAsia="pl-PL"/>
        </w:rPr>
      </w:pPr>
      <w:r w:rsidRPr="00740B56">
        <w:rPr>
          <w:rFonts w:ascii="Times New Roman" w:eastAsia="Times New Roman" w:hAnsi="Times New Roman" w:cs="Times New Roman"/>
          <w:sz w:val="24"/>
          <w:szCs w:val="24"/>
          <w:lang w:eastAsia="pl-PL"/>
        </w:rPr>
        <w:t>Nie dotyczy.</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3533CD" w:rsidRPr="003533CD" w:rsidRDefault="003533CD" w:rsidP="003533CD">
      <w:pPr>
        <w:spacing w:after="120" w:line="276" w:lineRule="auto"/>
        <w:jc w:val="both"/>
        <w:rPr>
          <w:rFonts w:ascii="Times New Roman" w:eastAsia="Times New Roman" w:hAnsi="Times New Roman" w:cs="Times New Roman"/>
          <w:sz w:val="24"/>
          <w:szCs w:val="24"/>
          <w:lang w:eastAsia="pl-PL"/>
        </w:rPr>
      </w:pPr>
      <w:r w:rsidRPr="003533CD">
        <w:rPr>
          <w:rFonts w:ascii="Times New Roman" w:eastAsia="Times New Roman" w:hAnsi="Times New Roman" w:cs="Times New Roman"/>
          <w:sz w:val="24"/>
          <w:szCs w:val="24"/>
          <w:lang w:eastAsia="pl-PL"/>
        </w:rPr>
        <w:t>Zamawiający zgodnie z art. 455 ustawy PZP przewiduje możliwość wprowadzenia istotnych zmian do treści zawartej umowy w następującym zakresie:</w:t>
      </w:r>
    </w:p>
    <w:p w:rsidR="003533CD" w:rsidRPr="003533CD" w:rsidRDefault="003533CD" w:rsidP="003533CD">
      <w:pPr>
        <w:widowControl w:val="0"/>
        <w:numPr>
          <w:ilvl w:val="0"/>
          <w:numId w:val="14"/>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b/>
          <w:color w:val="000000"/>
          <w:sz w:val="24"/>
          <w:lang w:eastAsia="pl-PL"/>
        </w:rPr>
        <w:t>terminu</w:t>
      </w:r>
      <w:r w:rsidRPr="003533CD">
        <w:rPr>
          <w:rFonts w:ascii="Times New Roman" w:eastAsia="Lucida Sans Unicode" w:hAnsi="Times New Roman" w:cs="Times New Roman"/>
          <w:color w:val="000000"/>
          <w:sz w:val="24"/>
          <w:lang w:eastAsia="pl-PL"/>
        </w:rPr>
        <w:t xml:space="preserve"> realizacji umowy na skutek:</w:t>
      </w:r>
    </w:p>
    <w:p w:rsidR="003533CD" w:rsidRPr="003533CD" w:rsidRDefault="00672EC9" w:rsidP="00303907">
      <w:pPr>
        <w:widowControl w:val="0"/>
        <w:numPr>
          <w:ilvl w:val="0"/>
          <w:numId w:val="24"/>
        </w:numPr>
        <w:tabs>
          <w:tab w:val="left" w:pos="709"/>
        </w:tabs>
        <w:suppressAutoHyphens/>
        <w:autoSpaceDE w:val="0"/>
        <w:autoSpaceDN w:val="0"/>
        <w:adjustRightInd w:val="0"/>
        <w:spacing w:after="120" w:line="240" w:lineRule="auto"/>
        <w:jc w:val="both"/>
        <w:rPr>
          <w:rFonts w:ascii="Times New Roman" w:eastAsia="Times New Roman" w:hAnsi="Times New Roman" w:cs="Times New Roman"/>
          <w:color w:val="FF0000"/>
          <w:sz w:val="24"/>
          <w:lang w:eastAsia="pl-PL"/>
        </w:rPr>
      </w:pPr>
      <w:r w:rsidRPr="00672EC9">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Pr="00672EC9">
        <w:rPr>
          <w:rFonts w:ascii="Times New Roman" w:eastAsia="Times New Roman" w:hAnsi="Times New Roman" w:cs="Times New Roman"/>
          <w:sz w:val="24"/>
          <w:lang w:eastAsia="pl-PL"/>
        </w:rPr>
        <w:br/>
        <w:t>w dokumentacji technicznej (projektowej) ujawnionych podczas realizacji robót, koniecznością wykonania robót związanych z likwidacją szkód powstałych w wyniku zdarzenia losowego</w:t>
      </w:r>
      <w:r w:rsidR="003533CD" w:rsidRPr="003533CD">
        <w:rPr>
          <w:rFonts w:ascii="Times New Roman" w:eastAsia="Times New Roman" w:hAnsi="Times New Roman" w:cs="Times New Roman"/>
          <w:sz w:val="24"/>
          <w:lang w:eastAsia="pl-PL"/>
        </w:rPr>
        <w:t>,</w:t>
      </w:r>
    </w:p>
    <w:p w:rsidR="003533CD" w:rsidRPr="003533CD" w:rsidRDefault="003533CD" w:rsidP="00303907">
      <w:pPr>
        <w:widowControl w:val="0"/>
        <w:numPr>
          <w:ilvl w:val="0"/>
          <w:numId w:val="24"/>
        </w:numPr>
        <w:tabs>
          <w:tab w:val="left" w:pos="240"/>
          <w:tab w:val="left" w:pos="426"/>
          <w:tab w:val="left" w:pos="567"/>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 xml:space="preserve">opóźnienia w przekazaniu placu budowy z przyczyn leżących po stronie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Zamawiającego,</w:t>
      </w:r>
    </w:p>
    <w:p w:rsidR="003533CD" w:rsidRPr="003533CD" w:rsidRDefault="003533CD" w:rsidP="00303907">
      <w:pPr>
        <w:widowControl w:val="0"/>
        <w:numPr>
          <w:ilvl w:val="0"/>
          <w:numId w:val="24"/>
        </w:numPr>
        <w:tabs>
          <w:tab w:val="left" w:pos="240"/>
          <w:tab w:val="left" w:pos="426"/>
          <w:tab w:val="left" w:pos="720"/>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3533CD">
        <w:rPr>
          <w:rFonts w:ascii="Times New Roman" w:eastAsia="Lucida Sans Unicode" w:hAnsi="Times New Roman" w:cs="Times New Roman"/>
          <w:sz w:val="24"/>
          <w:lang w:eastAsia="pl-PL"/>
        </w:rPr>
        <w:t>robót, przedłużenie</w:t>
      </w:r>
      <w:r w:rsidRPr="003533CD">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wstrzymanych w oparciu</w:t>
      </w:r>
      <w:r w:rsidRPr="003533CD">
        <w:rPr>
          <w:rFonts w:ascii="Times New Roman" w:eastAsia="Lucida Sans Unicode" w:hAnsi="Times New Roman" w:cs="Times New Roman"/>
          <w:color w:val="000000"/>
          <w:sz w:val="24"/>
          <w:lang w:eastAsia="pl-PL"/>
        </w:rPr>
        <w:br/>
        <w:t xml:space="preserve">o </w:t>
      </w:r>
      <w:r w:rsidRPr="003533CD">
        <w:rPr>
          <w:rFonts w:ascii="Times New Roman" w:eastAsia="Times New Roman" w:hAnsi="Times New Roman" w:cs="Times New Roman"/>
          <w:bCs/>
          <w:iCs/>
          <w:color w:val="000000"/>
          <w:sz w:val="24"/>
          <w:lang w:eastAsia="pl-PL"/>
        </w:rPr>
        <w:t xml:space="preserve">Katalog Nakładów Rzeczowych (KNR), a w przypadku braku odpowiednich pozycji </w:t>
      </w:r>
      <w:r w:rsidRPr="003533CD">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Cs/>
          <w:iCs/>
          <w:color w:val="000000"/>
          <w:sz w:val="24"/>
          <w:lang w:eastAsia="pl-PL"/>
        </w:rPr>
        <w:t>wystąpienia sytuacji losowych i okoliczności niemożliwych do przewidzenia w chwili zawarcia umowy, w tym m.in.:</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czynniki atmosferyczne uniemożliwiające prowadzenie robót np. opady deszczu, mróz;</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uniemożliwienie prowadzenia prac przez użytkowników obiektów,</w:t>
      </w:r>
    </w:p>
    <w:p w:rsidR="003533CD" w:rsidRPr="003533CD" w:rsidRDefault="003533CD" w:rsidP="002152EF">
      <w:pPr>
        <w:widowControl w:val="0"/>
        <w:tabs>
          <w:tab w:val="left" w:pos="142"/>
          <w:tab w:val="left" w:pos="240"/>
          <w:tab w:val="left" w:pos="720"/>
        </w:tabs>
        <w:suppressAutoHyphens/>
        <w:spacing w:after="12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3533CD">
        <w:rPr>
          <w:rFonts w:ascii="Times New Roman" w:eastAsia="Lucida Sans Unicode" w:hAnsi="Times New Roman" w:cs="Times New Roman"/>
          <w:color w:val="000000"/>
          <w:sz w:val="24"/>
          <w:lang w:eastAsia="pl-PL"/>
        </w:rPr>
        <w:t xml:space="preserve">w oparciu o </w:t>
      </w:r>
      <w:r w:rsidRPr="003533CD">
        <w:rPr>
          <w:rFonts w:ascii="Times New Roman" w:eastAsia="Times New Roman" w:hAnsi="Times New Roman" w:cs="Times New Roman"/>
          <w:bCs/>
          <w:iCs/>
          <w:color w:val="000000"/>
          <w:sz w:val="24"/>
          <w:lang w:eastAsia="pl-PL"/>
        </w:rPr>
        <w:t>Katalog Nakładów Rzeczowych (KNR), a w przypadku braku odpowiednich pozycji w KNR-ach zastosowane zostaną Katalogi Norm Nakładów Rzeczowych (KNNR) oraz liczby pracowników</w:t>
      </w:r>
      <w:r w:rsidRPr="003533CD">
        <w:rPr>
          <w:rFonts w:ascii="Times New Roman" w:eastAsia="Times New Roman" w:hAnsi="Times New Roman" w:cs="Times New Roman"/>
          <w:sz w:val="24"/>
          <w:lang w:eastAsia="pl-PL"/>
        </w:rPr>
        <w:t xml:space="preserve">; </w:t>
      </w:r>
    </w:p>
    <w:p w:rsidR="003533CD" w:rsidRPr="003533CD" w:rsidRDefault="003533CD" w:rsidP="002152EF">
      <w:pPr>
        <w:widowControl w:val="0"/>
        <w:tabs>
          <w:tab w:val="left" w:pos="142"/>
          <w:tab w:val="left" w:pos="240"/>
          <w:tab w:val="left" w:pos="720"/>
          <w:tab w:val="left" w:pos="1560"/>
        </w:tabs>
        <w:suppressAutoHyphens/>
        <w:spacing w:after="4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nadto </w:t>
      </w:r>
      <w:r w:rsidRPr="003533CD">
        <w:rPr>
          <w:rFonts w:ascii="Times New Roman" w:eastAsia="Lucida Sans Unicode" w:hAnsi="Times New Roman" w:cs="Times New Roman"/>
          <w:b/>
          <w:color w:val="000000"/>
          <w:sz w:val="24"/>
          <w:lang w:eastAsia="pl-PL"/>
        </w:rPr>
        <w:t>przewiduje się zmianę</w:t>
      </w:r>
      <w:r w:rsidRPr="003533CD">
        <w:rPr>
          <w:rFonts w:ascii="Times New Roman" w:eastAsia="Lucida Sans Unicode" w:hAnsi="Times New Roman" w:cs="Times New Roman"/>
          <w:color w:val="000000"/>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709" w:hanging="709"/>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ceny</w:t>
      </w:r>
      <w:r w:rsidRPr="003533CD">
        <w:rPr>
          <w:rFonts w:ascii="Times New Roman" w:eastAsia="Lucida Sans Unicode" w:hAnsi="Times New Roman" w:cs="Times New Roman"/>
          <w:color w:val="000000"/>
          <w:sz w:val="24"/>
          <w:lang w:eastAsia="pl-PL"/>
        </w:rPr>
        <w:t>, na skutek:</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color w:val="000000"/>
          <w:sz w:val="24"/>
          <w:lang w:eastAsia="pl-PL"/>
        </w:rPr>
        <w:lastRenderedPageBreak/>
        <w:t>zmiany obowiązującej stawki podatku od towarów i usług VAT, o ile okoliczności te powodują konieczność zmiany ceny, przy czym cena netto jest stała,</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3533CD">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rsidR="003533CD" w:rsidRPr="003533CD" w:rsidRDefault="003533CD" w:rsidP="002152EF">
      <w:pPr>
        <w:widowControl w:val="0"/>
        <w:tabs>
          <w:tab w:val="left" w:pos="284"/>
          <w:tab w:val="left" w:pos="426"/>
          <w:tab w:val="left" w:pos="567"/>
        </w:tabs>
        <w:suppressAutoHyphens/>
        <w:spacing w:after="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 jeżeli zmiany te będą miały wpływ na koszty wykonania zamówienia przez Wykonawcę;</w:t>
      </w:r>
    </w:p>
    <w:p w:rsidR="003533CD" w:rsidRPr="003533CD" w:rsidRDefault="003533CD" w:rsidP="002152EF">
      <w:pPr>
        <w:widowControl w:val="0"/>
        <w:tabs>
          <w:tab w:val="left" w:pos="284"/>
          <w:tab w:val="left" w:pos="426"/>
          <w:tab w:val="left" w:pos="567"/>
        </w:tabs>
        <w:suppressAutoHyphens/>
        <w:spacing w:after="12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pkt. 5 stosuje się odpowiednio; </w:t>
      </w:r>
    </w:p>
    <w:p w:rsidR="003533CD" w:rsidRPr="00842723" w:rsidRDefault="00842723"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szCs w:val="24"/>
          <w:lang w:eastAsia="pl-PL"/>
        </w:rPr>
      </w:pPr>
      <w:r w:rsidRPr="00842723">
        <w:rPr>
          <w:rFonts w:ascii="Times New Roman" w:eastAsia="Lucida Sans Unicode" w:hAnsi="Times New Roman" w:cs="Times New Roman"/>
          <w:b/>
          <w:color w:val="000000"/>
          <w:sz w:val="24"/>
          <w:szCs w:val="24"/>
        </w:rPr>
        <w:t>przedstawiciela Zamawiającego</w:t>
      </w:r>
      <w:r w:rsidRPr="00842723">
        <w:rPr>
          <w:rFonts w:ascii="Times New Roman" w:eastAsia="Lucida Sans Unicode" w:hAnsi="Times New Roman" w:cs="Times New Roman"/>
          <w:b/>
          <w:sz w:val="24"/>
          <w:szCs w:val="24"/>
        </w:rPr>
        <w:t xml:space="preserve"> i przedstawiciela Wykonawcy, </w:t>
      </w:r>
      <w:r w:rsidRPr="00842723">
        <w:rPr>
          <w:rFonts w:ascii="Times New Roman" w:eastAsia="Lucida Sans Unicode" w:hAnsi="Times New Roman" w:cs="Times New Roman"/>
          <w:sz w:val="24"/>
          <w:szCs w:val="24"/>
        </w:rPr>
        <w:t>przy czym</w:t>
      </w:r>
      <w:r w:rsidRPr="00842723">
        <w:rPr>
          <w:rFonts w:ascii="Times New Roman" w:eastAsia="Lucida Sans Unicode" w:hAnsi="Times New Roman" w:cs="Times New Roman"/>
          <w:color w:val="000000"/>
          <w:sz w:val="24"/>
          <w:szCs w:val="24"/>
        </w:rPr>
        <w:t xml:space="preserve"> nowo wskazana osoba powinna spełniać wymagania określone przez Zamawiającego tj. posiadać stosowne uprawnienia budowlane oraz aktualną przynależność do izby inżynierów</w:t>
      </w:r>
      <w:r w:rsidR="00672EC9" w:rsidRPr="00842723">
        <w:rPr>
          <w:rFonts w:ascii="Times New Roman" w:eastAsia="Lucida Sans Unicode" w:hAnsi="Times New Roman" w:cs="Times New Roman"/>
          <w:sz w:val="24"/>
          <w:szCs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 xml:space="preserve">sposobu spełnienia świadczenia, </w:t>
      </w:r>
      <w:r w:rsidRPr="003533CD">
        <w:rPr>
          <w:rFonts w:ascii="Times New Roman" w:eastAsia="Lucida Sans Unicode" w:hAnsi="Times New Roman" w:cs="Times New Roman"/>
          <w:color w:val="000000"/>
          <w:sz w:val="24"/>
          <w:lang w:eastAsia="pl-PL"/>
        </w:rPr>
        <w:t>w przypadku</w:t>
      </w:r>
      <w:r w:rsidRPr="003533CD">
        <w:rPr>
          <w:rFonts w:ascii="Times New Roman" w:eastAsia="Lucida Sans Unicode" w:hAnsi="Times New Roman" w:cs="Times New Roman"/>
          <w:b/>
          <w:color w:val="000000"/>
          <w:sz w:val="24"/>
          <w:lang w:eastAsia="pl-PL"/>
        </w:rPr>
        <w:t>:</w:t>
      </w:r>
    </w:p>
    <w:p w:rsidR="003533CD" w:rsidRPr="003533CD" w:rsidRDefault="003533CD" w:rsidP="00303907">
      <w:pPr>
        <w:widowControl w:val="0"/>
        <w:numPr>
          <w:ilvl w:val="0"/>
          <w:numId w:val="17"/>
        </w:numPr>
        <w:tabs>
          <w:tab w:val="left" w:pos="284"/>
          <w:tab w:val="left" w:pos="567"/>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3533CD">
        <w:rPr>
          <w:rFonts w:ascii="Times New Roman" w:eastAsia="Lucida Sans Unicode" w:hAnsi="Times New Roman" w:cs="Times New Roman"/>
          <w:color w:val="000000"/>
          <w:sz w:val="24"/>
          <w:lang w:eastAsia="pl-PL"/>
        </w:rPr>
        <w:br/>
        <w:t>o ile okoliczności te powodują konieczność zmiany sposobu spełnienia świadczenia.</w:t>
      </w:r>
    </w:p>
    <w:p w:rsidR="003533CD" w:rsidRPr="003533CD" w:rsidRDefault="003533CD" w:rsidP="002152EF">
      <w:pPr>
        <w:widowControl w:val="0"/>
        <w:tabs>
          <w:tab w:val="left" w:pos="284"/>
          <w:tab w:val="left" w:pos="567"/>
        </w:tabs>
        <w:suppressAutoHyphens/>
        <w:spacing w:after="120" w:line="240" w:lineRule="auto"/>
        <w:ind w:left="1004"/>
        <w:jc w:val="both"/>
        <w:rPr>
          <w:rFonts w:ascii="Times New Roman" w:eastAsia="Times New Roman" w:hAnsi="Times New Roman" w:cs="Times New Roman"/>
          <w:bCs/>
          <w:iCs/>
          <w:color w:val="000000"/>
          <w:sz w:val="24"/>
          <w:lang w:eastAsia="pl-PL"/>
        </w:rPr>
      </w:pPr>
      <w:r w:rsidRPr="003533CD">
        <w:rPr>
          <w:rFonts w:ascii="Times New Roman" w:eastAsia="Times New Roman" w:hAnsi="Times New Roman" w:cs="Times New Roman"/>
          <w:bCs/>
          <w:iCs/>
          <w:color w:val="000000"/>
          <w:sz w:val="24"/>
          <w:lang w:eastAsia="pl-PL"/>
        </w:rPr>
        <w:t xml:space="preserve">Wartość robót zamiennych zostanie ustalona na podstawie kosztorysu zamiennego </w:t>
      </w:r>
      <w:r w:rsidRPr="003533CD">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3533CD">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zmiany powszechnie obowiązujących przepisów prawa, w zakresie mającym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wystąpienia Siły Wyższej, mającej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 dotyczących przedmiotu zamówienia, które wynikają z zaleceń organów administracji publicznej,</w:t>
      </w:r>
    </w:p>
    <w:p w:rsidR="003533CD" w:rsidRPr="003533CD" w:rsidRDefault="003533CD" w:rsidP="002152EF">
      <w:pPr>
        <w:widowControl w:val="0"/>
        <w:tabs>
          <w:tab w:val="left" w:pos="284"/>
          <w:tab w:val="left" w:pos="567"/>
        </w:tabs>
        <w:suppressAutoHyphens/>
        <w:spacing w:after="120" w:line="240" w:lineRule="auto"/>
        <w:ind w:left="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w zakresie wynikającym z wyżej wymienionych zdarzeń – bez prawa do dodatkowego   wynagrodzenia;</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
          <w:sz w:val="24"/>
          <w:lang w:eastAsia="pl-PL"/>
        </w:rPr>
        <w:t>zmiany podwykonawcy</w:t>
      </w:r>
      <w:r w:rsidRPr="003533CD">
        <w:rPr>
          <w:rFonts w:ascii="Times New Roman" w:eastAsia="Times New Roman" w:hAnsi="Times New Roman" w:cs="Times New Roman"/>
          <w:sz w:val="24"/>
          <w:lang w:eastAsia="pl-PL"/>
        </w:rPr>
        <w:t xml:space="preserve"> wskazanego w ofercie, bądź też rezygnacji z tego podwykonawcy;</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rsidR="009B35E4" w:rsidRPr="009B35E4" w:rsidRDefault="003533CD" w:rsidP="003533CD">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3533CD">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p w:rsidR="00746748" w:rsidRPr="00840973" w:rsidRDefault="00746748" w:rsidP="00840973">
      <w:pPr>
        <w:widowControl w:val="0"/>
        <w:tabs>
          <w:tab w:val="left" w:pos="567"/>
        </w:tabs>
        <w:suppressAutoHyphens/>
        <w:spacing w:after="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p w:rsidR="007A38E0" w:rsidRPr="00D3675E" w:rsidRDefault="007A38E0"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1312F6">
        <w:rPr>
          <w:rFonts w:ascii="Times New Roman" w:eastAsia="Times New Roman" w:hAnsi="Times New Roman" w:cs="Times New Roman"/>
          <w:sz w:val="24"/>
          <w:szCs w:val="24"/>
          <w:lang w:eastAsia="pl-PL"/>
        </w:rPr>
        <w:t>Katarzyna Osobliwy.</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1312F6">
        <w:rPr>
          <w:rFonts w:ascii="Times New Roman" w:eastAsia="Times New Roman" w:hAnsi="Times New Roman" w:cs="Times New Roman"/>
          <w:b/>
          <w:sz w:val="24"/>
          <w:szCs w:val="24"/>
          <w:lang w:eastAsia="pl-PL"/>
        </w:rPr>
        <w:t>07</w:t>
      </w:r>
      <w:r w:rsidR="004774A1" w:rsidRPr="00F86CD5">
        <w:rPr>
          <w:rFonts w:ascii="Times New Roman" w:eastAsia="Times New Roman" w:hAnsi="Times New Roman" w:cs="Times New Roman"/>
          <w:b/>
          <w:sz w:val="24"/>
          <w:szCs w:val="24"/>
          <w:lang w:eastAsia="pl-PL"/>
        </w:rPr>
        <w:t>.</w:t>
      </w:r>
      <w:r w:rsidR="00DA555F">
        <w:rPr>
          <w:rFonts w:ascii="Times New Roman" w:eastAsia="Times New Roman" w:hAnsi="Times New Roman" w:cs="Times New Roman"/>
          <w:b/>
          <w:sz w:val="24"/>
          <w:szCs w:val="24"/>
          <w:lang w:eastAsia="pl-PL"/>
        </w:rPr>
        <w:t>0</w:t>
      </w:r>
      <w:r w:rsidR="001312F6">
        <w:rPr>
          <w:rFonts w:ascii="Times New Roman" w:eastAsia="Times New Roman" w:hAnsi="Times New Roman" w:cs="Times New Roman"/>
          <w:b/>
          <w:sz w:val="24"/>
          <w:szCs w:val="24"/>
          <w:lang w:eastAsia="pl-PL"/>
        </w:rPr>
        <w:t>5</w:t>
      </w:r>
      <w:r w:rsidRPr="00F86CD5">
        <w:rPr>
          <w:rFonts w:ascii="Times New Roman" w:eastAsia="Times New Roman" w:hAnsi="Times New Roman" w:cs="Times New Roman"/>
          <w:b/>
          <w:sz w:val="24"/>
          <w:szCs w:val="24"/>
          <w:lang w:eastAsia="pl-PL"/>
        </w:rPr>
        <w:t>.202</w:t>
      </w:r>
      <w:r w:rsidR="00DA555F">
        <w:rPr>
          <w:rFonts w:ascii="Times New Roman" w:eastAsia="Times New Roman" w:hAnsi="Times New Roman" w:cs="Times New Roman"/>
          <w:b/>
          <w:sz w:val="24"/>
          <w:szCs w:val="24"/>
          <w:lang w:eastAsia="pl-PL"/>
        </w:rPr>
        <w:t>5</w:t>
      </w:r>
      <w:r w:rsidRPr="00F86CD5">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74D22"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stanowiące ofertę, które należy złożyć: </w:t>
      </w:r>
    </w:p>
    <w:p w:rsidR="00AF059D" w:rsidRPr="00A34F08"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1312F6">
        <w:rPr>
          <w:rFonts w:ascii="Times New Roman" w:eastAsia="Times New Roman" w:hAnsi="Times New Roman" w:cs="Times New Roman"/>
          <w:b/>
          <w:color w:val="000000" w:themeColor="text1"/>
          <w:sz w:val="24"/>
          <w:szCs w:val="24"/>
          <w:lang w:eastAsia="pl-PL"/>
        </w:rPr>
        <w:t>For</w:t>
      </w:r>
      <w:r w:rsidR="007D4EA2">
        <w:rPr>
          <w:rFonts w:ascii="Times New Roman" w:eastAsia="Times New Roman" w:hAnsi="Times New Roman" w:cs="Times New Roman"/>
          <w:b/>
          <w:color w:val="000000" w:themeColor="text1"/>
          <w:sz w:val="24"/>
          <w:szCs w:val="24"/>
          <w:lang w:eastAsia="pl-PL"/>
        </w:rPr>
        <w:t>mularz ofertowy – załącznik nr 2</w:t>
      </w:r>
      <w:r w:rsidR="001312F6">
        <w:rPr>
          <w:rFonts w:ascii="Times New Roman" w:eastAsia="Times New Roman" w:hAnsi="Times New Roman" w:cs="Times New Roman"/>
          <w:b/>
          <w:color w:val="000000" w:themeColor="text1"/>
          <w:sz w:val="24"/>
          <w:szCs w:val="24"/>
          <w:lang w:eastAsia="pl-PL"/>
        </w:rPr>
        <w:t xml:space="preserve"> do SWZ</w:t>
      </w:r>
      <w:r w:rsidR="00E16A48">
        <w:rPr>
          <w:rFonts w:ascii="Times New Roman" w:eastAsia="Times New Roman" w:hAnsi="Times New Roman" w:cs="Times New Roman"/>
          <w:b/>
          <w:color w:val="000000" w:themeColor="text1"/>
          <w:sz w:val="24"/>
          <w:szCs w:val="24"/>
          <w:lang w:eastAsia="pl-PL"/>
        </w:rPr>
        <w:t>.</w:t>
      </w:r>
    </w:p>
    <w:p w:rsidR="00AF059D"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E16A48">
        <w:rPr>
          <w:rFonts w:ascii="Times New Roman" w:eastAsia="Times New Roman" w:hAnsi="Times New Roman" w:cs="Times New Roman"/>
          <w:b/>
          <w:color w:val="000000" w:themeColor="text1"/>
          <w:sz w:val="24"/>
          <w:szCs w:val="24"/>
          <w:lang w:eastAsia="pl-PL"/>
        </w:rPr>
        <w:t>Kosztorys ofertowy uproszczony.</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D25E5A">
        <w:rPr>
          <w:rFonts w:ascii="Times New Roman" w:eastAsia="Times New Roman" w:hAnsi="Times New Roman" w:cs="Times New Roman"/>
          <w:b/>
          <w:color w:val="000000"/>
          <w:sz w:val="24"/>
          <w:szCs w:val="24"/>
          <w:lang w:eastAsia="pl-PL"/>
        </w:rPr>
        <w:t>3</w:t>
      </w:r>
      <w:r w:rsidR="008F0BB6">
        <w:rPr>
          <w:rFonts w:ascii="Times New Roman" w:eastAsia="Times New Roman" w:hAnsi="Times New Roman" w:cs="Times New Roman"/>
          <w:b/>
          <w:color w:val="000000"/>
          <w:sz w:val="24"/>
          <w:szCs w:val="24"/>
          <w:lang w:eastAsia="pl-PL"/>
        </w:rPr>
        <w:t>.</w:t>
      </w:r>
      <w:r w:rsidR="00D25E5A">
        <w:rPr>
          <w:rFonts w:ascii="Times New Roman" w:eastAsia="Times New Roman" w:hAnsi="Times New Roman" w:cs="Times New Roman"/>
          <w:b/>
          <w:color w:val="000000"/>
          <w:sz w:val="24"/>
          <w:szCs w:val="24"/>
          <w:lang w:eastAsia="pl-PL"/>
        </w:rPr>
        <w:t>1605</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 xml:space="preserve">– </w:t>
      </w:r>
      <w:r w:rsidRPr="00031F83">
        <w:rPr>
          <w:rFonts w:ascii="Times New Roman" w:eastAsia="Times New Roman" w:hAnsi="Times New Roman" w:cs="Times New Roman"/>
          <w:b/>
          <w:color w:val="000000"/>
          <w:sz w:val="24"/>
          <w:szCs w:val="24"/>
          <w:u w:val="single"/>
          <w:lang w:eastAsia="pl-PL"/>
        </w:rPr>
        <w:t xml:space="preserve">wzór stanowi </w:t>
      </w:r>
      <w:r w:rsidR="00B00A35">
        <w:rPr>
          <w:rFonts w:ascii="Times New Roman" w:eastAsia="Times New Roman" w:hAnsi="Times New Roman" w:cs="Times New Roman"/>
          <w:b/>
          <w:sz w:val="24"/>
          <w:szCs w:val="24"/>
          <w:u w:val="single"/>
          <w:lang w:eastAsia="pl-PL"/>
        </w:rPr>
        <w:t>załącznik nr 1</w:t>
      </w:r>
      <w:r w:rsidRPr="00031F83">
        <w:rPr>
          <w:rFonts w:ascii="Times New Roman" w:eastAsia="Times New Roman" w:hAnsi="Times New Roman" w:cs="Times New Roman"/>
          <w:b/>
          <w:sz w:val="24"/>
          <w:szCs w:val="24"/>
          <w:u w:val="single"/>
          <w:lang w:eastAsia="pl-PL"/>
        </w:rPr>
        <w:t xml:space="preserve"> do </w:t>
      </w:r>
      <w:r w:rsidRPr="00031F83">
        <w:rPr>
          <w:rFonts w:ascii="Times New Roman" w:eastAsia="Times New Roman" w:hAnsi="Times New Roman" w:cs="Times New Roman"/>
          <w:b/>
          <w:color w:val="000000"/>
          <w:sz w:val="24"/>
          <w:szCs w:val="24"/>
          <w:u w:val="single"/>
          <w:lang w:eastAsia="pl-PL"/>
        </w:rPr>
        <w:t>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F40BB9">
        <w:rPr>
          <w:rFonts w:ascii="Times New Roman" w:eastAsia="Times New Roman" w:hAnsi="Times New Roman" w:cs="Times New Roman"/>
          <w:b/>
          <w:color w:val="000000"/>
          <w:sz w:val="24"/>
          <w:szCs w:val="24"/>
          <w:lang w:eastAsia="pl-PL"/>
        </w:rPr>
        <w:t>nie dotyczy</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2"/>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D3675E">
        <w:rPr>
          <w:rFonts w:ascii="Times New Roman" w:eastAsia="Times New Roman" w:hAnsi="Times New Roman" w:cs="Times New Roman"/>
          <w:color w:val="000000"/>
          <w:sz w:val="24"/>
          <w:szCs w:val="24"/>
          <w:lang w:eastAsia="pl-PL"/>
        </w:rPr>
        <w:lastRenderedPageBreak/>
        <w:t>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Pr="00327B43">
        <w:rPr>
          <w:rFonts w:ascii="Times New Roman" w:eastAsia="Times New Roman" w:hAnsi="Times New Roman" w:cs="Times New Roman"/>
          <w:color w:val="000000"/>
          <w:sz w:val="24"/>
          <w:szCs w:val="24"/>
          <w:lang w:eastAsia="pl-PL"/>
        </w:rPr>
        <w:lastRenderedPageBreak/>
        <w:t>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1312F6">
        <w:rPr>
          <w:rFonts w:ascii="Times New Roman" w:eastAsia="Times New Roman" w:hAnsi="Times New Roman" w:cs="Times New Roman"/>
          <w:b/>
          <w:sz w:val="24"/>
          <w:szCs w:val="24"/>
          <w:lang w:eastAsia="pl-PL"/>
        </w:rPr>
        <w:t>08</w:t>
      </w:r>
      <w:r w:rsidR="00713CDC" w:rsidRPr="000E75A0">
        <w:rPr>
          <w:rFonts w:ascii="Times New Roman" w:eastAsia="Times New Roman" w:hAnsi="Times New Roman" w:cs="Times New Roman"/>
          <w:b/>
          <w:sz w:val="24"/>
          <w:szCs w:val="24"/>
          <w:lang w:eastAsia="pl-PL"/>
        </w:rPr>
        <w:t>.</w:t>
      </w:r>
      <w:r w:rsidR="005D0FDF">
        <w:rPr>
          <w:rFonts w:ascii="Times New Roman" w:eastAsia="Times New Roman" w:hAnsi="Times New Roman" w:cs="Times New Roman"/>
          <w:b/>
          <w:sz w:val="24"/>
          <w:szCs w:val="24"/>
          <w:lang w:eastAsia="pl-PL"/>
        </w:rPr>
        <w:t>0</w:t>
      </w:r>
      <w:r w:rsidR="001312F6">
        <w:rPr>
          <w:rFonts w:ascii="Times New Roman" w:eastAsia="Times New Roman" w:hAnsi="Times New Roman" w:cs="Times New Roman"/>
          <w:b/>
          <w:sz w:val="24"/>
          <w:szCs w:val="24"/>
          <w:lang w:eastAsia="pl-PL"/>
        </w:rPr>
        <w:t>4</w:t>
      </w:r>
      <w:r w:rsidR="009B35E4" w:rsidRPr="000E75A0">
        <w:rPr>
          <w:rFonts w:ascii="Times New Roman" w:eastAsia="Times New Roman" w:hAnsi="Times New Roman" w:cs="Times New Roman"/>
          <w:b/>
          <w:sz w:val="24"/>
          <w:szCs w:val="24"/>
          <w:lang w:eastAsia="pl-PL"/>
        </w:rPr>
        <w:t>.202</w:t>
      </w:r>
      <w:r w:rsidR="005D0FDF">
        <w:rPr>
          <w:rFonts w:ascii="Times New Roman" w:eastAsia="Times New Roman" w:hAnsi="Times New Roman" w:cs="Times New Roman"/>
          <w:b/>
          <w:sz w:val="24"/>
          <w:szCs w:val="24"/>
          <w:lang w:eastAsia="pl-PL"/>
        </w:rPr>
        <w:t>5</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7A38E0">
        <w:rPr>
          <w:rFonts w:ascii="Times New Roman" w:eastAsia="Calibri" w:hAnsi="Times New Roman" w:cs="Times New Roman"/>
          <w:b/>
          <w:sz w:val="24"/>
          <w:szCs w:val="24"/>
        </w:rPr>
        <w:t>08</w:t>
      </w:r>
      <w:r w:rsidR="000E75A0" w:rsidRPr="000E75A0">
        <w:rPr>
          <w:rFonts w:ascii="Times New Roman" w:eastAsia="Calibri" w:hAnsi="Times New Roman" w:cs="Times New Roman"/>
          <w:b/>
          <w:sz w:val="24"/>
          <w:szCs w:val="24"/>
        </w:rPr>
        <w:t>.</w:t>
      </w:r>
      <w:r w:rsidR="005D0FDF">
        <w:rPr>
          <w:rFonts w:ascii="Times New Roman" w:eastAsia="Calibri" w:hAnsi="Times New Roman" w:cs="Times New Roman"/>
          <w:b/>
          <w:sz w:val="24"/>
          <w:szCs w:val="24"/>
        </w:rPr>
        <w:t>0</w:t>
      </w:r>
      <w:r w:rsidR="007A38E0">
        <w:rPr>
          <w:rFonts w:ascii="Times New Roman" w:eastAsia="Calibri" w:hAnsi="Times New Roman" w:cs="Times New Roman"/>
          <w:b/>
          <w:sz w:val="24"/>
          <w:szCs w:val="24"/>
        </w:rPr>
        <w:t>4</w:t>
      </w:r>
      <w:r w:rsidR="000E75A0" w:rsidRPr="000E75A0">
        <w:rPr>
          <w:rFonts w:ascii="Times New Roman" w:eastAsia="Calibri" w:hAnsi="Times New Roman" w:cs="Times New Roman"/>
          <w:b/>
          <w:sz w:val="24"/>
          <w:szCs w:val="24"/>
        </w:rPr>
        <w:t>.202</w:t>
      </w:r>
      <w:r w:rsidR="005D0FDF">
        <w:rPr>
          <w:rFonts w:ascii="Times New Roman" w:eastAsia="Calibri" w:hAnsi="Times New Roman" w:cs="Times New Roman"/>
          <w:b/>
          <w:sz w:val="24"/>
          <w:szCs w:val="24"/>
        </w:rPr>
        <w:t>5</w:t>
      </w:r>
      <w:r w:rsidR="000E75A0" w:rsidRPr="000E75A0">
        <w:rPr>
          <w:rFonts w:ascii="Times New Roman" w:eastAsia="Calibri" w:hAnsi="Times New Roman" w:cs="Times New Roman"/>
          <w:b/>
          <w:sz w:val="24"/>
          <w:szCs w:val="24"/>
        </w:rPr>
        <w:t xml:space="preserve">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w:t>
      </w:r>
      <w:r w:rsidRPr="00947CE0">
        <w:rPr>
          <w:rFonts w:ascii="Times New Roman" w:eastAsia="Times New Roman" w:hAnsi="Times New Roman" w:cs="Times New Roman"/>
          <w:sz w:val="24"/>
          <w:szCs w:val="24"/>
          <w:lang w:eastAsia="pl-PL"/>
        </w:rPr>
        <w:lastRenderedPageBreak/>
        <w:t xml:space="preserve">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 xml:space="preserve">wykonawcę, którego jednostką dominującą w rozumieniu art. 3 ust. 1 pkt. 37 ustawy z dnia 29 września 1994 r. o rachunkowości (Dz.U. z 2021 r., poz. 217, 2105 i 2106) jest podmiot </w:t>
      </w:r>
      <w:r w:rsidRPr="00AC65E2">
        <w:rPr>
          <w:rFonts w:ascii="Times New Roman" w:hAnsi="Times New Roman" w:cs="Times New Roman"/>
          <w:sz w:val="24"/>
          <w:szCs w:val="24"/>
        </w:rPr>
        <w:lastRenderedPageBreak/>
        <w:t>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p w:rsidR="007A38E0" w:rsidRDefault="007A38E0"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D57160">
        <w:rPr>
          <w:rFonts w:ascii="Times New Roman" w:eastAsia="Times New Roman" w:hAnsi="Times New Roman" w:cs="Times New Roman"/>
          <w:bCs/>
          <w:color w:val="000000" w:themeColor="text1"/>
          <w:sz w:val="24"/>
          <w:szCs w:val="24"/>
          <w:lang w:eastAsia="ar-SA"/>
        </w:rPr>
        <w:t>formularz cenowy</w:t>
      </w:r>
      <w:r w:rsidRPr="003F5A9E">
        <w:rPr>
          <w:rFonts w:ascii="Times New Roman" w:hAnsi="Times New Roman" w:cs="Times New Roman"/>
          <w:color w:val="000000" w:themeColor="text1"/>
          <w:sz w:val="24"/>
          <w:szCs w:val="24"/>
        </w:rPr>
        <w:t xml:space="preserve"> uwzględniając</w:t>
      </w:r>
      <w:r w:rsidR="00D57160">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 waga 60%</w:t>
      </w:r>
    </w:p>
    <w:p w:rsidR="00664097" w:rsidRPr="00664097" w:rsidRDefault="005D0FDF"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gwarancji</w:t>
      </w:r>
      <w:r w:rsidR="00664097" w:rsidRPr="00664097">
        <w:rPr>
          <w:rFonts w:ascii="Times New Roman" w:eastAsia="Times New Roman" w:hAnsi="Times New Roman" w:cs="Times New Roman"/>
          <w:sz w:val="24"/>
          <w:szCs w:val="24"/>
          <w:lang w:eastAsia="pl-PL"/>
        </w:rPr>
        <w:t xml:space="preserve"> – waga 40%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664097" w:rsidRPr="00664097" w:rsidTr="00146581">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664097" w:rsidRPr="00664097" w:rsidRDefault="00664097" w:rsidP="00303907">
            <w:pPr>
              <w:keepNext/>
              <w:keepLines/>
              <w:numPr>
                <w:ilvl w:val="0"/>
                <w:numId w:val="22"/>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Waga kryterium</w:t>
            </w:r>
          </w:p>
        </w:tc>
      </w:tr>
      <w:tr w:rsidR="00664097" w:rsidRPr="00664097" w:rsidTr="00146581">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60 pkt = 60%</w:t>
            </w:r>
          </w:p>
        </w:tc>
      </w:tr>
      <w:tr w:rsidR="00664097" w:rsidRPr="00664097" w:rsidTr="00146581">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664097" w:rsidRPr="00664097" w:rsidRDefault="005D0FDF" w:rsidP="0066409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40 pkt = 40%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5D0FDF" w:rsidRDefault="00664097" w:rsidP="00664097">
      <w:pPr>
        <w:spacing w:after="0" w:line="240" w:lineRule="auto"/>
        <w:jc w:val="both"/>
        <w:rPr>
          <w:rFonts w:ascii="Times New Roman" w:eastAsia="Times New Roman" w:hAnsi="Times New Roman" w:cs="Times New Roman"/>
          <w:bCs/>
          <w:sz w:val="24"/>
          <w:szCs w:val="24"/>
          <w:lang w:eastAsia="pl-PL"/>
        </w:rPr>
      </w:pPr>
      <w:r w:rsidRPr="005D0FDF">
        <w:rPr>
          <w:rFonts w:ascii="Times New Roman" w:eastAsia="Times New Roman" w:hAnsi="Times New Roman" w:cs="Times New Roman"/>
          <w:bCs/>
          <w:sz w:val="24"/>
          <w:szCs w:val="24"/>
          <w:lang w:eastAsia="pl-PL"/>
        </w:rPr>
        <w:t xml:space="preserve">Oferta będzie oceniana wg poniższych wzorów i zasad: </w:t>
      </w:r>
    </w:p>
    <w:p w:rsidR="005D0FDF" w:rsidRPr="005D0FDF" w:rsidRDefault="005D0FDF" w:rsidP="005D0FDF">
      <w:pPr>
        <w:spacing w:after="120" w:line="276" w:lineRule="auto"/>
        <w:jc w:val="both"/>
        <w:rPr>
          <w:rFonts w:ascii="Times New Roman" w:hAnsi="Times New Roman" w:cs="Times New Roman"/>
          <w:b/>
          <w:sz w:val="24"/>
          <w:szCs w:val="24"/>
        </w:rPr>
      </w:pPr>
      <w:r w:rsidRPr="005D0FDF">
        <w:rPr>
          <w:rFonts w:ascii="Times New Roman" w:hAnsi="Times New Roman" w:cs="Times New Roman"/>
          <w:b/>
          <w:sz w:val="24"/>
          <w:szCs w:val="24"/>
        </w:rPr>
        <w:t>Kryteria, którymi Zamawiający będzie się kierował przy wyborze oferty:</w:t>
      </w:r>
    </w:p>
    <w:p w:rsidR="005D0FDF" w:rsidRPr="005D0FDF" w:rsidRDefault="005D0FDF" w:rsidP="005D0FDF">
      <w:pPr>
        <w:numPr>
          <w:ilvl w:val="0"/>
          <w:numId w:val="39"/>
        </w:num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lastRenderedPageBreak/>
        <w:t>cena – waga 60%</w:t>
      </w:r>
    </w:p>
    <w:p w:rsidR="005D0FDF" w:rsidRPr="005D0FDF" w:rsidRDefault="005D0FDF" w:rsidP="005D0FDF">
      <w:pPr>
        <w:numPr>
          <w:ilvl w:val="0"/>
          <w:numId w:val="39"/>
        </w:numPr>
        <w:spacing w:after="120" w:line="276" w:lineRule="auto"/>
        <w:jc w:val="both"/>
        <w:rPr>
          <w:rFonts w:ascii="Times New Roman" w:hAnsi="Times New Roman" w:cs="Times New Roman"/>
          <w:sz w:val="24"/>
          <w:szCs w:val="24"/>
        </w:rPr>
      </w:pPr>
      <w:r w:rsidRPr="005D0FDF">
        <w:rPr>
          <w:rFonts w:ascii="Times New Roman" w:hAnsi="Times New Roman" w:cs="Times New Roman"/>
          <w:sz w:val="24"/>
          <w:szCs w:val="24"/>
        </w:rPr>
        <w:t>okres gwarancji – waga 40%</w:t>
      </w:r>
    </w:p>
    <w:p w:rsidR="005D0FDF" w:rsidRDefault="005D0FDF" w:rsidP="005D0FDF">
      <w:pPr>
        <w:spacing w:after="120" w:line="276" w:lineRule="auto"/>
        <w:jc w:val="both"/>
        <w:rPr>
          <w:rFonts w:ascii="Times New Roman" w:hAnsi="Times New Roman" w:cs="Times New Roman"/>
          <w:sz w:val="24"/>
          <w:szCs w:val="24"/>
          <w:u w:val="single"/>
        </w:rPr>
      </w:pPr>
      <w:r w:rsidRPr="005D0FDF">
        <w:rPr>
          <w:rFonts w:ascii="Times New Roman" w:hAnsi="Times New Roman" w:cs="Times New Roman"/>
          <w:sz w:val="24"/>
          <w:szCs w:val="24"/>
          <w:u w:val="single"/>
        </w:rPr>
        <w:t>W kryterium „cena” zostanie zastosowany wzór:</w:t>
      </w:r>
    </w:p>
    <w:p w:rsidR="007A38E0" w:rsidRPr="005D0FDF" w:rsidRDefault="007A38E0" w:rsidP="005D0FDF">
      <w:pPr>
        <w:spacing w:after="120" w:line="276" w:lineRule="auto"/>
        <w:jc w:val="both"/>
        <w:rPr>
          <w:rFonts w:ascii="Times New Roman" w:hAnsi="Times New Roman" w:cs="Times New Roman"/>
          <w:sz w:val="24"/>
          <w:szCs w:val="24"/>
          <w:u w:val="single"/>
        </w:rPr>
      </w:pP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najniższa cena oferty</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    x 60</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cena oferty badanej</w:t>
      </w:r>
    </w:p>
    <w:p w:rsidR="005D0FDF" w:rsidRPr="005D0FDF" w:rsidRDefault="005D0FDF" w:rsidP="005D0FDF">
      <w:pPr>
        <w:jc w:val="both"/>
        <w:rPr>
          <w:rFonts w:ascii="Times New Roman" w:hAnsi="Times New Roman" w:cs="Times New Roman"/>
          <w:b/>
          <w:sz w:val="24"/>
          <w:szCs w:val="24"/>
        </w:rPr>
      </w:pPr>
    </w:p>
    <w:p w:rsidR="005D0FDF" w:rsidRPr="005D0FDF" w:rsidRDefault="005D0FDF" w:rsidP="005D0FDF">
      <w:pPr>
        <w:spacing w:after="120" w:line="276" w:lineRule="auto"/>
        <w:jc w:val="both"/>
        <w:rPr>
          <w:rFonts w:ascii="Times New Roman" w:hAnsi="Times New Roman" w:cs="Times New Roman"/>
          <w:sz w:val="24"/>
          <w:szCs w:val="24"/>
          <w:u w:val="single"/>
        </w:rPr>
      </w:pPr>
      <w:r w:rsidRPr="005D0FDF">
        <w:rPr>
          <w:rFonts w:ascii="Times New Roman" w:hAnsi="Times New Roman" w:cs="Times New Roman"/>
          <w:sz w:val="24"/>
          <w:szCs w:val="24"/>
          <w:u w:val="single"/>
        </w:rPr>
        <w:t>W kryterium „okres gwarancji” zostanie zastosowany wzór:</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 xml:space="preserve">okres gwarancji w ofercie badanej </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  x 40</w:t>
      </w:r>
    </w:p>
    <w:p w:rsidR="005D0FDF" w:rsidRPr="005D0FDF" w:rsidRDefault="005D0FDF" w:rsidP="005D0FDF">
      <w:pPr>
        <w:spacing w:after="120"/>
        <w:jc w:val="both"/>
        <w:rPr>
          <w:rFonts w:ascii="Times New Roman" w:hAnsi="Times New Roman" w:cs="Times New Roman"/>
          <w:b/>
          <w:sz w:val="24"/>
          <w:szCs w:val="24"/>
        </w:rPr>
      </w:pPr>
      <w:r w:rsidRPr="005D0FDF">
        <w:rPr>
          <w:rFonts w:ascii="Times New Roman" w:hAnsi="Times New Roman" w:cs="Times New Roman"/>
          <w:b/>
          <w:sz w:val="24"/>
          <w:szCs w:val="24"/>
        </w:rPr>
        <w:t>najdłuższy okres gwarancji ze wszystkich ofert</w:t>
      </w:r>
    </w:p>
    <w:p w:rsidR="00664097" w:rsidRPr="005D0FDF" w:rsidRDefault="00664097" w:rsidP="00664097">
      <w:pPr>
        <w:tabs>
          <w:tab w:val="left" w:pos="1134"/>
        </w:tabs>
        <w:spacing w:after="0" w:line="240" w:lineRule="auto"/>
        <w:ind w:left="1134"/>
        <w:jc w:val="both"/>
        <w:rPr>
          <w:rFonts w:ascii="Times New Roman" w:eastAsia="Times New Roman" w:hAnsi="Times New Roman" w:cs="Times New Roman"/>
          <w:b/>
          <w:sz w:val="24"/>
          <w:szCs w:val="24"/>
          <w:u w:val="single"/>
          <w:lang w:eastAsia="pl-PL"/>
        </w:rPr>
      </w:pPr>
    </w:p>
    <w:p w:rsidR="005D0FDF" w:rsidRPr="007A38E0" w:rsidRDefault="005D0FDF" w:rsidP="007A38E0">
      <w:pPr>
        <w:spacing w:after="0" w:line="240" w:lineRule="auto"/>
        <w:jc w:val="both"/>
        <w:rPr>
          <w:rFonts w:ascii="Times New Roman" w:eastAsia="Times New Roman" w:hAnsi="Times New Roman" w:cs="Times New Roman"/>
          <w:sz w:val="24"/>
          <w:szCs w:val="24"/>
          <w:lang w:eastAsia="pl-PL"/>
        </w:rPr>
      </w:pPr>
      <w:r w:rsidRPr="005D0FDF">
        <w:rPr>
          <w:rFonts w:ascii="Times New Roman" w:hAnsi="Times New Roman" w:cs="Times New Roman"/>
          <w:sz w:val="24"/>
          <w:szCs w:val="24"/>
        </w:rPr>
        <w:t xml:space="preserve">Okres obowiązywania gwarancji Wykonawca określi w złożonej ofercie, przy czym okres ten nie może być krótszy niż 12 miesięcy i podlegać będzie ocenie na podstawie kryterium oceny ofert: gwarancja – 40% z tym, że punkty za okres gwarancji przyznawane będą jedynie </w:t>
      </w:r>
      <w:r w:rsidRPr="005D0FDF">
        <w:rPr>
          <w:rFonts w:ascii="Times New Roman" w:hAnsi="Times New Roman" w:cs="Times New Roman"/>
          <w:sz w:val="24"/>
          <w:szCs w:val="24"/>
        </w:rPr>
        <w:br/>
        <w:t>za okres od 12 do 60 miesięcy.</w:t>
      </w:r>
    </w:p>
    <w:p w:rsid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Jeżeli Wykonawca zaproponuje okres gwarancji dłuższy niż 60 miesięcy otrzyma punkty jak za okres 60 miesięcy.</w:t>
      </w:r>
    </w:p>
    <w:p w:rsidR="005D0FDF" w:rsidRP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Jeżeli Wykonawca w ofercie nie określi okresu gwarancji – zostanie przyjęty okres gwarancji 12 miesięcy.</w:t>
      </w:r>
    </w:p>
    <w:p w:rsidR="005D0FDF" w:rsidRP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Jeżeli Wykonawca w ofercie określi okres gwarancji krótszy niż 12 miesięcy – oferta zostanie odrzucona.</w:t>
      </w:r>
    </w:p>
    <w:p w:rsidR="00664097" w:rsidRPr="00664097" w:rsidRDefault="00664097" w:rsidP="005D0FDF">
      <w:pPr>
        <w:spacing w:after="0" w:line="240" w:lineRule="auto"/>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 xml:space="preserve"> Najkorzystniejsza oferta to oferta z największą ilością punktów /po dodaniu punktów oceny we wszystkich kryteriach/</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1352E0"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1352E0" w:rsidRPr="001352E0" w:rsidRDefault="001352E0" w:rsidP="001352E0">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1352E0">
        <w:rPr>
          <w:rFonts w:ascii="Times New Roman" w:hAnsi="Times New Roman" w:cs="Times New Roman"/>
          <w:sz w:val="24"/>
          <w:szCs w:val="24"/>
        </w:rPr>
        <w:t>Przed zawarciem umowy Wykonawca dostarczy:</w:t>
      </w:r>
    </w:p>
    <w:p w:rsidR="001352E0" w:rsidRPr="001352E0" w:rsidRDefault="001352E0" w:rsidP="001352E0">
      <w:pPr>
        <w:numPr>
          <w:ilvl w:val="0"/>
          <w:numId w:val="38"/>
        </w:numPr>
        <w:spacing w:after="0" w:line="276" w:lineRule="auto"/>
        <w:jc w:val="both"/>
        <w:rPr>
          <w:rFonts w:ascii="Times New Roman" w:hAnsi="Times New Roman" w:cs="Times New Roman"/>
          <w:b/>
          <w:sz w:val="24"/>
          <w:szCs w:val="24"/>
        </w:rPr>
      </w:pPr>
      <w:r w:rsidRPr="001352E0">
        <w:rPr>
          <w:rFonts w:ascii="Times New Roman" w:hAnsi="Times New Roman" w:cs="Times New Roman"/>
          <w:sz w:val="24"/>
          <w:szCs w:val="24"/>
        </w:rPr>
        <w:t xml:space="preserve">uprawnienia budowlane przedstawiciela Wykonawcy (kierującego robotami)                        do kierowania robotami w branży </w:t>
      </w:r>
      <w:r w:rsidR="00950196">
        <w:rPr>
          <w:rFonts w:ascii="Times New Roman" w:hAnsi="Times New Roman" w:cs="Times New Roman"/>
          <w:sz w:val="24"/>
          <w:szCs w:val="24"/>
        </w:rPr>
        <w:t>sanitarnej</w:t>
      </w:r>
      <w:r w:rsidRPr="001352E0">
        <w:rPr>
          <w:rFonts w:ascii="Times New Roman" w:hAnsi="Times New Roman" w:cs="Times New Roman"/>
          <w:sz w:val="24"/>
          <w:szCs w:val="24"/>
        </w:rPr>
        <w:t>,</w:t>
      </w:r>
    </w:p>
    <w:p w:rsidR="001352E0" w:rsidRPr="001352E0" w:rsidRDefault="00950196" w:rsidP="001352E0">
      <w:pPr>
        <w:numPr>
          <w:ilvl w:val="0"/>
          <w:numId w:val="3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aktualne </w:t>
      </w:r>
      <w:r w:rsidR="001352E0" w:rsidRPr="001352E0">
        <w:rPr>
          <w:rFonts w:ascii="Times New Roman" w:hAnsi="Times New Roman" w:cs="Times New Roman"/>
          <w:sz w:val="24"/>
          <w:szCs w:val="24"/>
        </w:rPr>
        <w:t xml:space="preserve">zaświadczenie o przynależności przedstawiciela Wykonawcy (kierującego robotami) do </w:t>
      </w:r>
      <w:r>
        <w:rPr>
          <w:rFonts w:ascii="Times New Roman" w:hAnsi="Times New Roman" w:cs="Times New Roman"/>
          <w:sz w:val="24"/>
          <w:szCs w:val="24"/>
        </w:rPr>
        <w:t xml:space="preserve">Polskiej </w:t>
      </w:r>
      <w:r w:rsidR="001352E0" w:rsidRPr="001352E0">
        <w:rPr>
          <w:rFonts w:ascii="Times New Roman" w:hAnsi="Times New Roman" w:cs="Times New Roman"/>
          <w:sz w:val="24"/>
          <w:szCs w:val="24"/>
        </w:rPr>
        <w:t>Izby Inżynierów Budownictwa,</w:t>
      </w:r>
    </w:p>
    <w:p w:rsidR="00EF00C3" w:rsidRPr="001352E0" w:rsidRDefault="001352E0" w:rsidP="001352E0">
      <w:pPr>
        <w:numPr>
          <w:ilvl w:val="0"/>
          <w:numId w:val="38"/>
        </w:numPr>
        <w:spacing w:after="0" w:line="276" w:lineRule="auto"/>
        <w:jc w:val="both"/>
        <w:rPr>
          <w:rFonts w:ascii="Times New Roman" w:hAnsi="Times New Roman" w:cs="Times New Roman"/>
          <w:b/>
        </w:rPr>
      </w:pPr>
      <w:r w:rsidRPr="001352E0">
        <w:rPr>
          <w:rFonts w:ascii="Times New Roman" w:hAnsi="Times New Roman" w:cs="Times New Roman"/>
          <w:sz w:val="24"/>
          <w:szCs w:val="24"/>
        </w:rPr>
        <w:lastRenderedPageBreak/>
        <w:t xml:space="preserve">wykaz osób zatrudnionych na umowę o pracę, skierowanych przez Wykonawcę </w:t>
      </w:r>
      <w:r w:rsidRPr="001352E0">
        <w:rPr>
          <w:rFonts w:ascii="Times New Roman" w:hAnsi="Times New Roman" w:cs="Times New Roman"/>
          <w:sz w:val="24"/>
          <w:szCs w:val="24"/>
        </w:rPr>
        <w:br/>
        <w:t>do realizacji zamówienia publicznego.</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EF00C3" w:rsidRDefault="00EF00C3" w:rsidP="00AC65E2">
      <w:pPr>
        <w:widowControl w:val="0"/>
        <w:tabs>
          <w:tab w:val="left" w:pos="360"/>
        </w:tabs>
        <w:spacing w:line="276" w:lineRule="auto"/>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wymaga od </w:t>
      </w:r>
      <w:r w:rsidRPr="00EF00C3">
        <w:rPr>
          <w:rFonts w:ascii="Times New Roman" w:eastAsia="Times New Roman" w:hAnsi="Times New Roman" w:cs="Times New Roman"/>
          <w:b/>
          <w:sz w:val="24"/>
          <w:szCs w:val="24"/>
          <w:lang w:eastAsia="pl-PL"/>
        </w:rPr>
        <w:t>Wykonawcy</w:t>
      </w:r>
      <w:r w:rsidRPr="00EF00C3">
        <w:rPr>
          <w:rFonts w:ascii="Times New Roman" w:eastAsia="Times New Roman" w:hAnsi="Times New Roman" w:cs="Times New Roman"/>
          <w:sz w:val="24"/>
          <w:szCs w:val="24"/>
          <w:lang w:eastAsia="pl-PL"/>
        </w:rPr>
        <w:t xml:space="preserve"> lub podwykonawcy zatrudnienia na umowę</w:t>
      </w:r>
      <w:r w:rsidRPr="00EF00C3">
        <w:rPr>
          <w:rFonts w:ascii="Times New Roman" w:eastAsia="Times New Roman" w:hAnsi="Times New Roman" w:cs="Times New Roman"/>
          <w:sz w:val="24"/>
          <w:szCs w:val="24"/>
          <w:lang w:eastAsia="pl-PL"/>
        </w:rPr>
        <w:br/>
        <w:t>o pracę wszystkich osób wykonujących czynności w trakcie realizacji przedmiotowego zamówienia, a w szczególności wykonujących czynności:</w:t>
      </w:r>
      <w:r w:rsidR="00AC65E2">
        <w:rPr>
          <w:rFonts w:ascii="Times New Roman" w:eastAsia="Times New Roman" w:hAnsi="Times New Roman" w:cs="Times New Roman"/>
          <w:sz w:val="24"/>
          <w:szCs w:val="24"/>
          <w:lang w:eastAsia="pl-PL"/>
        </w:rPr>
        <w:t xml:space="preserve"> </w:t>
      </w:r>
      <w:r w:rsidR="007D4EA2">
        <w:rPr>
          <w:rFonts w:ascii="Times New Roman" w:eastAsia="Times New Roman" w:hAnsi="Times New Roman" w:cs="Times New Roman"/>
          <w:sz w:val="24"/>
          <w:szCs w:val="24"/>
          <w:lang w:eastAsia="pl-PL"/>
        </w:rPr>
        <w:t>roboty ziemne, wymiana hydrantów nadziemnych</w:t>
      </w:r>
      <w:r w:rsidR="005E1F8D">
        <w:rPr>
          <w:rFonts w:ascii="Times New Roman" w:hAnsi="Times New Roman" w:cs="Times New Roman"/>
          <w:sz w:val="24"/>
          <w:szCs w:val="24"/>
        </w:rPr>
        <w:t>,</w:t>
      </w:r>
      <w:r w:rsidR="007D58DB">
        <w:rPr>
          <w:rFonts w:ascii="Times New Roman" w:hAnsi="Times New Roman" w:cs="Times New Roman"/>
          <w:b/>
          <w:sz w:val="24"/>
          <w:szCs w:val="24"/>
        </w:rPr>
        <w:t xml:space="preserve"> </w:t>
      </w:r>
      <w:r w:rsidRPr="00EF00C3">
        <w:rPr>
          <w:rFonts w:ascii="Times New Roman" w:eastAsia="Times New Roman" w:hAnsi="Times New Roman" w:cs="Times New Roman"/>
          <w:sz w:val="24"/>
          <w:szCs w:val="24"/>
          <w:lang w:eastAsia="pl-PL"/>
        </w:rPr>
        <w:t xml:space="preserve">w rozumieniu przepisów ustawy z dnia 26 czerwca 1974 r. – Kodeks pracy (Dz.U.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EF00C3" w:rsidRPr="00EF00C3" w:rsidRDefault="00EF00C3" w:rsidP="00EF00C3">
      <w:pPr>
        <w:spacing w:after="0" w:line="264" w:lineRule="auto"/>
        <w:jc w:val="both"/>
        <w:rPr>
          <w:rFonts w:ascii="Times New Roman" w:eastAsia="Times New Roman" w:hAnsi="Times New Roman" w:cs="Times New Roman"/>
          <w:sz w:val="24"/>
          <w:szCs w:val="24"/>
          <w:u w:val="single"/>
          <w:lang w:eastAsia="pl-PL"/>
        </w:rPr>
      </w:pPr>
      <w:r w:rsidRPr="00EF00C3">
        <w:rPr>
          <w:rFonts w:ascii="Times New Roman" w:eastAsia="Times New Roman" w:hAnsi="Times New Roman" w:cs="Times New Roman"/>
          <w:sz w:val="24"/>
          <w:szCs w:val="24"/>
          <w:u w:val="single"/>
          <w:lang w:eastAsia="pl-PL"/>
        </w:rPr>
        <w:t>wykaz osób realizacjach ww. czynności określa załącznik</w:t>
      </w:r>
      <w:r w:rsidR="007A38E0">
        <w:rPr>
          <w:rFonts w:ascii="Times New Roman" w:eastAsia="Times New Roman" w:hAnsi="Times New Roman" w:cs="Times New Roman"/>
          <w:color w:val="000000" w:themeColor="text1"/>
          <w:sz w:val="24"/>
          <w:szCs w:val="24"/>
          <w:u w:val="single"/>
          <w:lang w:eastAsia="pl-PL"/>
        </w:rPr>
        <w:t xml:space="preserve"> do umowy. </w:t>
      </w:r>
    </w:p>
    <w:p w:rsidR="00EF00C3" w:rsidRPr="00EF00C3" w:rsidRDefault="00EF00C3" w:rsidP="00F40BB9">
      <w:pPr>
        <w:tabs>
          <w:tab w:val="left" w:pos="4253"/>
          <w:tab w:val="left" w:pos="4395"/>
        </w:tabs>
        <w:spacing w:after="0" w:line="264" w:lineRule="auto"/>
        <w:contextualSpacing/>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W trakcie realizacji zamówienia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EF00C3">
        <w:rPr>
          <w:rFonts w:ascii="Times New Roman" w:eastAsia="Times New Roman" w:hAnsi="Times New Roman" w:cs="Times New Roman"/>
          <w:b/>
          <w:sz w:val="24"/>
          <w:szCs w:val="24"/>
          <w:lang w:eastAsia="pl-PL"/>
        </w:rPr>
        <w:t>Wykonawcę</w:t>
      </w:r>
      <w:r w:rsidRPr="00EF00C3">
        <w:rPr>
          <w:rFonts w:ascii="Times New Roman" w:eastAsia="Times New Roman" w:hAnsi="Times New Roman" w:cs="Times New Roman"/>
          <w:sz w:val="24"/>
          <w:szCs w:val="24"/>
          <w:lang w:eastAsia="pl-PL"/>
        </w:rPr>
        <w:t xml:space="preserve"> wymogu zatrudnienia na podstawie umowy o pracę osób wykonujących wskazanew ust. 1 czynności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w szczególności do: </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żądania oświadczeń i dokumentów w zakresie potwierdzenia spełniania </w:t>
      </w:r>
      <w:r w:rsidRPr="00EF00C3">
        <w:rPr>
          <w:rFonts w:ascii="Times New Roman" w:eastAsia="Times New Roman" w:hAnsi="Times New Roman" w:cs="Times New Roman"/>
          <w:sz w:val="24"/>
          <w:szCs w:val="24"/>
          <w:lang w:eastAsia="pl-PL"/>
        </w:rPr>
        <w:br/>
        <w:t>ww. wymogów i dokonywania ich oceny,</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lastRenderedPageBreak/>
        <w:t>żądania wyjaśnień w przypadku wątpliwości w zakresie potwierdzenia spełniania ww. wymogów,</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przeprowadzania kontroli na miejscu wykonywania świadczenia.</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7A38E0" w:rsidRPr="00327B43" w:rsidRDefault="007A38E0" w:rsidP="007A38E0">
      <w:pPr>
        <w:autoSpaceDE w:val="0"/>
        <w:autoSpaceDN w:val="0"/>
        <w:adjustRightInd w:val="0"/>
        <w:spacing w:after="0" w:line="240" w:lineRule="auto"/>
        <w:ind w:left="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681C54" w:rsidRDefault="00AC65E2" w:rsidP="00681C54">
      <w:pPr>
        <w:autoSpaceDE w:val="0"/>
        <w:autoSpaceDN w:val="0"/>
        <w:adjustRightInd w:val="0"/>
        <w:spacing w:after="0" w:line="276" w:lineRule="auto"/>
        <w:jc w:val="both"/>
        <w:rPr>
          <w:rFonts w:ascii="Times New Roman" w:hAnsi="Times New Roman" w:cs="Times New Roman"/>
          <w:sz w:val="24"/>
          <w:szCs w:val="24"/>
        </w:rPr>
      </w:pPr>
      <w:r w:rsidRPr="00E33808">
        <w:rPr>
          <w:rFonts w:ascii="Times New Roman" w:hAnsi="Times New Roman" w:cs="Times New Roman"/>
          <w:color w:val="000000"/>
          <w:sz w:val="24"/>
          <w:szCs w:val="24"/>
        </w:rPr>
        <w:t>Zamawiający nie wymaga wniesienia wadium</w:t>
      </w:r>
      <w:r w:rsidRPr="005B4704">
        <w:rPr>
          <w:rFonts w:ascii="Times New Roman" w:hAnsi="Times New Roman" w:cs="Times New Roman"/>
          <w:color w:val="000000" w:themeColor="text1"/>
          <w:sz w:val="24"/>
          <w:szCs w:val="24"/>
        </w:rPr>
        <w:t>.</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681C54" w:rsidRPr="00AC65E2" w:rsidRDefault="00AC65E2" w:rsidP="00681C54">
      <w:pPr>
        <w:suppressAutoHyphens/>
        <w:spacing w:after="0" w:line="240" w:lineRule="auto"/>
        <w:jc w:val="both"/>
        <w:rPr>
          <w:rFonts w:ascii="Times New Roman" w:eastAsia="Times New Roman" w:hAnsi="Times New Roman" w:cs="Times New Roman"/>
          <w:color w:val="000000"/>
          <w:sz w:val="24"/>
          <w:szCs w:val="24"/>
          <w:lang w:eastAsia="ar-SA"/>
        </w:rPr>
      </w:pPr>
      <w:r w:rsidRPr="00AC65E2">
        <w:rPr>
          <w:rFonts w:ascii="Times New Roman" w:eastAsia="Times New Roman" w:hAnsi="Times New Roman" w:cs="Times New Roman"/>
          <w:sz w:val="24"/>
          <w:szCs w:val="24"/>
          <w:lang w:eastAsia="ar-SA"/>
        </w:rPr>
        <w:t>Zamawiający nie wymaga zabezpieczenia należytego wykonania umowy</w:t>
      </w:r>
      <w:r w:rsidRPr="00AC65E2">
        <w:rPr>
          <w:rFonts w:ascii="Times New Roman" w:eastAsia="Times New Roman" w:hAnsi="Times New Roman" w:cs="Times New Roman"/>
          <w:color w:val="000000" w:themeColor="text1"/>
          <w:sz w:val="24"/>
          <w:szCs w:val="24"/>
          <w:lang w:eastAsia="ar-SA"/>
        </w:rPr>
        <w:t>.</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r>
      <w:r w:rsidRPr="00F40BB9">
        <w:rPr>
          <w:rFonts w:ascii="Times New Roman" w:eastAsia="Times New Roman" w:hAnsi="Times New Roman" w:cs="Times New Roman"/>
          <w:b/>
          <w:sz w:val="24"/>
          <w:szCs w:val="24"/>
          <w:lang w:eastAsia="pl-PL"/>
        </w:rPr>
        <w:t xml:space="preserve">Nr </w:t>
      </w:r>
      <w:r w:rsidR="007A38E0">
        <w:rPr>
          <w:rFonts w:ascii="Times New Roman" w:eastAsia="Times New Roman" w:hAnsi="Times New Roman" w:cs="Times New Roman"/>
          <w:b/>
          <w:sz w:val="24"/>
          <w:szCs w:val="24"/>
          <w:lang w:eastAsia="pl-PL"/>
        </w:rPr>
        <w:t>15</w:t>
      </w:r>
      <w:r w:rsidRPr="00F40BB9">
        <w:rPr>
          <w:rFonts w:ascii="Times New Roman" w:eastAsia="Times New Roman" w:hAnsi="Times New Roman" w:cs="Times New Roman"/>
          <w:b/>
          <w:sz w:val="24"/>
          <w:szCs w:val="24"/>
          <w:lang w:eastAsia="pl-PL"/>
        </w:rPr>
        <w:t>/</w:t>
      </w:r>
      <w:r w:rsidR="00E15012" w:rsidRPr="00F40BB9">
        <w:rPr>
          <w:rFonts w:ascii="Times New Roman" w:eastAsia="Times New Roman" w:hAnsi="Times New Roman" w:cs="Times New Roman"/>
          <w:b/>
          <w:sz w:val="24"/>
          <w:szCs w:val="24"/>
          <w:lang w:eastAsia="pl-PL"/>
        </w:rPr>
        <w:t>INFR</w:t>
      </w:r>
      <w:r w:rsidRPr="00F40BB9">
        <w:rPr>
          <w:rFonts w:ascii="Times New Roman" w:eastAsia="Times New Roman" w:hAnsi="Times New Roman" w:cs="Times New Roman"/>
          <w:b/>
          <w:sz w:val="24"/>
          <w:szCs w:val="24"/>
          <w:lang w:eastAsia="pl-PL"/>
        </w:rPr>
        <w:t>/6WOG/202</w:t>
      </w:r>
      <w:r w:rsidR="00F40BB9" w:rsidRPr="00F40BB9">
        <w:rPr>
          <w:rFonts w:ascii="Times New Roman" w:eastAsia="Times New Roman" w:hAnsi="Times New Roman" w:cs="Times New Roman"/>
          <w:b/>
          <w:sz w:val="24"/>
          <w:szCs w:val="24"/>
          <w:lang w:eastAsia="pl-PL"/>
        </w:rPr>
        <w:t>5</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w:t>
      </w:r>
      <w:r w:rsidRPr="00E33808">
        <w:rPr>
          <w:rFonts w:ascii="Times New Roman" w:eastAsia="Times New Roman" w:hAnsi="Times New Roman" w:cs="Times New Roman"/>
          <w:sz w:val="24"/>
          <w:szCs w:val="24"/>
          <w:lang w:eastAsia="pl-PL"/>
        </w:rPr>
        <w:lastRenderedPageBreak/>
        <w:t>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7A38E0"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7A38E0" w:rsidRPr="006F55A1" w:rsidRDefault="007A38E0" w:rsidP="007A38E0">
      <w:pPr>
        <w:spacing w:after="0" w:line="240" w:lineRule="auto"/>
        <w:ind w:left="709"/>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1352E0">
      <w:pPr>
        <w:numPr>
          <w:ilvl w:val="0"/>
          <w:numId w:val="23"/>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1352E0">
      <w:pPr>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1352E0">
      <w:pPr>
        <w:numPr>
          <w:ilvl w:val="0"/>
          <w:numId w:val="23"/>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Default="00E64631" w:rsidP="00E64631">
      <w:pPr>
        <w:spacing w:after="0" w:line="264" w:lineRule="auto"/>
        <w:ind w:left="720"/>
        <w:contextualSpacing/>
        <w:jc w:val="both"/>
        <w:rPr>
          <w:rFonts w:ascii="Times New Roman" w:hAnsi="Times New Roman" w:cs="Times New Roman"/>
          <w:sz w:val="24"/>
          <w:szCs w:val="24"/>
        </w:rPr>
      </w:pPr>
    </w:p>
    <w:p w:rsidR="00E165AF" w:rsidRDefault="00E165AF" w:rsidP="00E64631">
      <w:pPr>
        <w:spacing w:after="0" w:line="264" w:lineRule="auto"/>
        <w:ind w:left="720"/>
        <w:contextualSpacing/>
        <w:jc w:val="both"/>
        <w:rPr>
          <w:rFonts w:ascii="Times New Roman" w:hAnsi="Times New Roman" w:cs="Times New Roman"/>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7A38E0" w:rsidRDefault="007A38E0" w:rsidP="007A38E0">
      <w:pPr>
        <w:tabs>
          <w:tab w:val="left" w:pos="0"/>
          <w:tab w:val="left" w:pos="6048"/>
        </w:tabs>
        <w:spacing w:after="0" w:line="240" w:lineRule="auto"/>
        <w:jc w:val="both"/>
        <w:rPr>
          <w:rFonts w:ascii="Times New Roman" w:hAnsi="Times New Roman" w:cs="Times New Roman"/>
          <w:bCs/>
          <w:sz w:val="24"/>
          <w:szCs w:val="24"/>
        </w:rPr>
      </w:pPr>
    </w:p>
    <w:p w:rsidR="00E165AF" w:rsidRPr="00E64631" w:rsidRDefault="00E165AF" w:rsidP="00AA537C">
      <w:pPr>
        <w:spacing w:after="0" w:line="264" w:lineRule="auto"/>
        <w:contextualSpacing/>
        <w:jc w:val="both"/>
        <w:rPr>
          <w:rFonts w:ascii="Times New Roman" w:hAnsi="Times New Roman" w:cs="Times New Roman"/>
          <w:sz w:val="24"/>
          <w:szCs w:val="24"/>
        </w:rPr>
      </w:pPr>
      <w:bookmarkStart w:id="1" w:name="_GoBack"/>
      <w:bookmarkEnd w:id="1"/>
    </w:p>
    <w:sectPr w:rsidR="00E165AF" w:rsidRPr="00E64631"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68" w:rsidRDefault="00C13368" w:rsidP="0092114C">
      <w:pPr>
        <w:spacing w:after="0" w:line="240" w:lineRule="auto"/>
      </w:pPr>
      <w:r>
        <w:separator/>
      </w:r>
    </w:p>
  </w:endnote>
  <w:endnote w:type="continuationSeparator" w:id="0">
    <w:p w:rsidR="00C13368" w:rsidRDefault="00C13368"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174CD1" w:rsidRDefault="00174CD1">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AA537C">
              <w:rPr>
                <w:rFonts w:ascii="Times New Roman" w:hAnsi="Times New Roman" w:cs="Times New Roman"/>
                <w:b/>
                <w:bCs/>
                <w:noProof/>
                <w:sz w:val="18"/>
                <w:szCs w:val="18"/>
              </w:rPr>
              <w:t>18</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AA537C">
              <w:rPr>
                <w:rFonts w:ascii="Times New Roman" w:hAnsi="Times New Roman" w:cs="Times New Roman"/>
                <w:b/>
                <w:bCs/>
                <w:noProof/>
                <w:sz w:val="18"/>
                <w:szCs w:val="18"/>
              </w:rPr>
              <w:t>19</w:t>
            </w:r>
            <w:r w:rsidRPr="00226F99">
              <w:rPr>
                <w:rFonts w:ascii="Times New Roman" w:hAnsi="Times New Roman" w:cs="Times New Roman"/>
                <w:b/>
                <w:bCs/>
                <w:sz w:val="18"/>
                <w:szCs w:val="18"/>
              </w:rPr>
              <w:fldChar w:fldCharType="end"/>
            </w:r>
          </w:p>
        </w:sdtContent>
      </w:sdt>
    </w:sdtContent>
  </w:sdt>
  <w:p w:rsidR="00174CD1" w:rsidRDefault="00174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68" w:rsidRDefault="00C13368" w:rsidP="0092114C">
      <w:pPr>
        <w:spacing w:after="0" w:line="240" w:lineRule="auto"/>
      </w:pPr>
      <w:r>
        <w:separator/>
      </w:r>
    </w:p>
  </w:footnote>
  <w:footnote w:type="continuationSeparator" w:id="0">
    <w:p w:rsidR="00C13368" w:rsidRDefault="00C13368" w:rsidP="0092114C">
      <w:pPr>
        <w:spacing w:after="0" w:line="240" w:lineRule="auto"/>
      </w:pPr>
      <w:r>
        <w:continuationSeparator/>
      </w:r>
    </w:p>
  </w:footnote>
  <w:footnote w:id="1">
    <w:p w:rsidR="00174CD1" w:rsidRDefault="00174CD1" w:rsidP="000579A8">
      <w:pPr>
        <w:pStyle w:val="Tekstprzypisudolnego"/>
      </w:pPr>
      <w:r>
        <w:rPr>
          <w:rStyle w:val="Odwoanieprzypisudolnego"/>
        </w:rPr>
        <w:footnoteRef/>
      </w:r>
      <w:r>
        <w:t xml:space="preserve"> Ustawa z dnia 5 sierpnia 2010 r. o ochronie informacji niejawnych (Dz.U.2023.756 t.j)</w:t>
      </w:r>
    </w:p>
  </w:footnote>
  <w:footnote w:id="2">
    <w:p w:rsidR="00174CD1" w:rsidRPr="00C413C3" w:rsidRDefault="00174CD1"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D1" w:rsidRPr="0000632D" w:rsidRDefault="001B1839"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174CD1" w:rsidRPr="0000632D">
      <w:rPr>
        <w:rFonts w:ascii="Times New Roman" w:hAnsi="Times New Roman" w:cs="Times New Roman"/>
        <w:color w:val="000000" w:themeColor="text1"/>
        <w:sz w:val="24"/>
        <w:szCs w:val="24"/>
      </w:rPr>
      <w:t>/</w:t>
    </w:r>
    <w:r w:rsidR="00174CD1">
      <w:rPr>
        <w:rFonts w:ascii="Times New Roman" w:hAnsi="Times New Roman" w:cs="Times New Roman"/>
        <w:color w:val="000000" w:themeColor="text1"/>
        <w:sz w:val="24"/>
        <w:szCs w:val="24"/>
      </w:rPr>
      <w:t>INFR/6WOG/2025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6"/>
  </w:num>
  <w:num w:numId="3">
    <w:abstractNumId w:val="11"/>
  </w:num>
  <w:num w:numId="4">
    <w:abstractNumId w:val="19"/>
  </w:num>
  <w:num w:numId="5">
    <w:abstractNumId w:val="34"/>
  </w:num>
  <w:num w:numId="6">
    <w:abstractNumId w:val="12"/>
  </w:num>
  <w:num w:numId="7">
    <w:abstractNumId w:val="5"/>
  </w:num>
  <w:num w:numId="8">
    <w:abstractNumId w:val="3"/>
  </w:num>
  <w:num w:numId="9">
    <w:abstractNumId w:val="13"/>
  </w:num>
  <w:num w:numId="10">
    <w:abstractNumId w:val="29"/>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0"/>
  </w:num>
  <w:num w:numId="15">
    <w:abstractNumId w:val="25"/>
  </w:num>
  <w:num w:numId="16">
    <w:abstractNumId w:val="14"/>
  </w:num>
  <w:num w:numId="17">
    <w:abstractNumId w:val="33"/>
  </w:num>
  <w:num w:numId="18">
    <w:abstractNumId w:val="23"/>
  </w:num>
  <w:num w:numId="19">
    <w:abstractNumId w:val="8"/>
  </w:num>
  <w:num w:numId="20">
    <w:abstractNumId w:val="6"/>
  </w:num>
  <w:num w:numId="21">
    <w:abstractNumId w:val="16"/>
  </w:num>
  <w:num w:numId="22">
    <w:abstractNumId w:val="26"/>
  </w:num>
  <w:num w:numId="23">
    <w:abstractNumId w:val="38"/>
  </w:num>
  <w:num w:numId="24">
    <w:abstractNumId w:val="24"/>
  </w:num>
  <w:num w:numId="25">
    <w:abstractNumId w:val="2"/>
  </w:num>
  <w:num w:numId="26">
    <w:abstractNumId w:val="9"/>
  </w:num>
  <w:num w:numId="27">
    <w:abstractNumId w:val="27"/>
  </w:num>
  <w:num w:numId="28">
    <w:abstractNumId w:val="17"/>
  </w:num>
  <w:num w:numId="29">
    <w:abstractNumId w:val="7"/>
  </w:num>
  <w:num w:numId="30">
    <w:abstractNumId w:val="37"/>
  </w:num>
  <w:num w:numId="31">
    <w:abstractNumId w:val="22"/>
  </w:num>
  <w:num w:numId="32">
    <w:abstractNumId w:val="21"/>
  </w:num>
  <w:num w:numId="33">
    <w:abstractNumId w:val="28"/>
  </w:num>
  <w:num w:numId="34">
    <w:abstractNumId w:val="32"/>
  </w:num>
  <w:num w:numId="35">
    <w:abstractNumId w:val="18"/>
  </w:num>
  <w:num w:numId="36">
    <w:abstractNumId w:val="15"/>
  </w:num>
  <w:num w:numId="37">
    <w:abstractNumId w:val="4"/>
  </w:num>
  <w:num w:numId="38">
    <w:abstractNumId w:val="31"/>
  </w:num>
  <w:num w:numId="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F1A"/>
    <w:rsid w:val="000033CE"/>
    <w:rsid w:val="0000632D"/>
    <w:rsid w:val="00013ADC"/>
    <w:rsid w:val="00015487"/>
    <w:rsid w:val="00025A1D"/>
    <w:rsid w:val="00026790"/>
    <w:rsid w:val="00031B59"/>
    <w:rsid w:val="00031F83"/>
    <w:rsid w:val="00032E36"/>
    <w:rsid w:val="00032F76"/>
    <w:rsid w:val="00034ED3"/>
    <w:rsid w:val="00037547"/>
    <w:rsid w:val="00042607"/>
    <w:rsid w:val="00046678"/>
    <w:rsid w:val="00051B9E"/>
    <w:rsid w:val="000579A8"/>
    <w:rsid w:val="0006041A"/>
    <w:rsid w:val="000621AF"/>
    <w:rsid w:val="00072C4E"/>
    <w:rsid w:val="0007320E"/>
    <w:rsid w:val="00081766"/>
    <w:rsid w:val="00090A54"/>
    <w:rsid w:val="0009166D"/>
    <w:rsid w:val="000A038E"/>
    <w:rsid w:val="000A5879"/>
    <w:rsid w:val="000A67B4"/>
    <w:rsid w:val="000A6EBC"/>
    <w:rsid w:val="000A7E69"/>
    <w:rsid w:val="000B3865"/>
    <w:rsid w:val="000C0099"/>
    <w:rsid w:val="000C1DA4"/>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312F6"/>
    <w:rsid w:val="001352E0"/>
    <w:rsid w:val="00142C18"/>
    <w:rsid w:val="00146581"/>
    <w:rsid w:val="00152BE9"/>
    <w:rsid w:val="0016069E"/>
    <w:rsid w:val="00167429"/>
    <w:rsid w:val="00167467"/>
    <w:rsid w:val="00170464"/>
    <w:rsid w:val="00172F9F"/>
    <w:rsid w:val="00174CD1"/>
    <w:rsid w:val="00174EA0"/>
    <w:rsid w:val="0018150D"/>
    <w:rsid w:val="00186353"/>
    <w:rsid w:val="001949AB"/>
    <w:rsid w:val="001951B4"/>
    <w:rsid w:val="001954F5"/>
    <w:rsid w:val="001A00E1"/>
    <w:rsid w:val="001A58C2"/>
    <w:rsid w:val="001A7F2A"/>
    <w:rsid w:val="001B1839"/>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1704"/>
    <w:rsid w:val="001E2004"/>
    <w:rsid w:val="001E28B4"/>
    <w:rsid w:val="001F00C0"/>
    <w:rsid w:val="001F0D2B"/>
    <w:rsid w:val="001F6331"/>
    <w:rsid w:val="001F6B9D"/>
    <w:rsid w:val="002003EA"/>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9185E"/>
    <w:rsid w:val="00291A10"/>
    <w:rsid w:val="0029258A"/>
    <w:rsid w:val="002926DE"/>
    <w:rsid w:val="00293361"/>
    <w:rsid w:val="00294F0A"/>
    <w:rsid w:val="002A4233"/>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9F1"/>
    <w:rsid w:val="002E0487"/>
    <w:rsid w:val="002E176D"/>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14EB"/>
    <w:rsid w:val="0037622C"/>
    <w:rsid w:val="00376CD0"/>
    <w:rsid w:val="00380C13"/>
    <w:rsid w:val="00383832"/>
    <w:rsid w:val="00393589"/>
    <w:rsid w:val="0039382C"/>
    <w:rsid w:val="00397286"/>
    <w:rsid w:val="00397DCA"/>
    <w:rsid w:val="003A4897"/>
    <w:rsid w:val="003A55A0"/>
    <w:rsid w:val="003A7117"/>
    <w:rsid w:val="003B056B"/>
    <w:rsid w:val="003B2778"/>
    <w:rsid w:val="003D08FD"/>
    <w:rsid w:val="003D237F"/>
    <w:rsid w:val="003D510E"/>
    <w:rsid w:val="003E14AC"/>
    <w:rsid w:val="003E3DEF"/>
    <w:rsid w:val="003E4F03"/>
    <w:rsid w:val="003E676B"/>
    <w:rsid w:val="003F4FB3"/>
    <w:rsid w:val="003F5DB3"/>
    <w:rsid w:val="004021F7"/>
    <w:rsid w:val="00407B81"/>
    <w:rsid w:val="00416D77"/>
    <w:rsid w:val="004204A2"/>
    <w:rsid w:val="00422910"/>
    <w:rsid w:val="0044044C"/>
    <w:rsid w:val="00440B48"/>
    <w:rsid w:val="00444176"/>
    <w:rsid w:val="004448F5"/>
    <w:rsid w:val="00445463"/>
    <w:rsid w:val="00456460"/>
    <w:rsid w:val="004774A1"/>
    <w:rsid w:val="00480A44"/>
    <w:rsid w:val="00481474"/>
    <w:rsid w:val="0048165C"/>
    <w:rsid w:val="0048284B"/>
    <w:rsid w:val="00484459"/>
    <w:rsid w:val="004911C2"/>
    <w:rsid w:val="0049190D"/>
    <w:rsid w:val="00491ED7"/>
    <w:rsid w:val="00491F0F"/>
    <w:rsid w:val="004957D2"/>
    <w:rsid w:val="004A2532"/>
    <w:rsid w:val="004A3795"/>
    <w:rsid w:val="004A4FF4"/>
    <w:rsid w:val="004A6138"/>
    <w:rsid w:val="004A6D6E"/>
    <w:rsid w:val="004B1066"/>
    <w:rsid w:val="004B20F9"/>
    <w:rsid w:val="004B5296"/>
    <w:rsid w:val="004B6A2A"/>
    <w:rsid w:val="004B7B6D"/>
    <w:rsid w:val="004C1921"/>
    <w:rsid w:val="004C1BDE"/>
    <w:rsid w:val="004C1C6D"/>
    <w:rsid w:val="004C3798"/>
    <w:rsid w:val="004C46EB"/>
    <w:rsid w:val="004D02D7"/>
    <w:rsid w:val="004D02ED"/>
    <w:rsid w:val="004D0AEE"/>
    <w:rsid w:val="004D1262"/>
    <w:rsid w:val="004D1CEF"/>
    <w:rsid w:val="004D32E7"/>
    <w:rsid w:val="004D3EC6"/>
    <w:rsid w:val="004E0655"/>
    <w:rsid w:val="004E2B26"/>
    <w:rsid w:val="004E3B6B"/>
    <w:rsid w:val="004E534E"/>
    <w:rsid w:val="004E5EC0"/>
    <w:rsid w:val="004E7ADB"/>
    <w:rsid w:val="004F35CA"/>
    <w:rsid w:val="004F4BC4"/>
    <w:rsid w:val="004F5128"/>
    <w:rsid w:val="004F6DA2"/>
    <w:rsid w:val="004F7B9C"/>
    <w:rsid w:val="00502409"/>
    <w:rsid w:val="005025B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738"/>
    <w:rsid w:val="00533DC2"/>
    <w:rsid w:val="0053644E"/>
    <w:rsid w:val="00540CDE"/>
    <w:rsid w:val="005415BC"/>
    <w:rsid w:val="0054306F"/>
    <w:rsid w:val="00543F47"/>
    <w:rsid w:val="0054476E"/>
    <w:rsid w:val="00545074"/>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7D9"/>
    <w:rsid w:val="005B13FD"/>
    <w:rsid w:val="005B212E"/>
    <w:rsid w:val="005B3C0D"/>
    <w:rsid w:val="005B6468"/>
    <w:rsid w:val="005B6700"/>
    <w:rsid w:val="005C5BEF"/>
    <w:rsid w:val="005C61BF"/>
    <w:rsid w:val="005D0FDF"/>
    <w:rsid w:val="005D1AA1"/>
    <w:rsid w:val="005D64F2"/>
    <w:rsid w:val="005E0721"/>
    <w:rsid w:val="005E0B58"/>
    <w:rsid w:val="005E1F8D"/>
    <w:rsid w:val="005E3EE7"/>
    <w:rsid w:val="005E5E95"/>
    <w:rsid w:val="005E63C5"/>
    <w:rsid w:val="005E663C"/>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0826"/>
    <w:rsid w:val="006B1A71"/>
    <w:rsid w:val="006B5897"/>
    <w:rsid w:val="006B6A20"/>
    <w:rsid w:val="006B74ED"/>
    <w:rsid w:val="006C12CF"/>
    <w:rsid w:val="006C6B68"/>
    <w:rsid w:val="006D5782"/>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40B56"/>
    <w:rsid w:val="00746748"/>
    <w:rsid w:val="0076077F"/>
    <w:rsid w:val="00760EED"/>
    <w:rsid w:val="00761119"/>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38E0"/>
    <w:rsid w:val="007A4F08"/>
    <w:rsid w:val="007A51FC"/>
    <w:rsid w:val="007B2132"/>
    <w:rsid w:val="007B2A6C"/>
    <w:rsid w:val="007B313C"/>
    <w:rsid w:val="007B4DA5"/>
    <w:rsid w:val="007B5B02"/>
    <w:rsid w:val="007C047F"/>
    <w:rsid w:val="007C61F9"/>
    <w:rsid w:val="007D0A33"/>
    <w:rsid w:val="007D166E"/>
    <w:rsid w:val="007D4EA2"/>
    <w:rsid w:val="007D4EF3"/>
    <w:rsid w:val="007D58DB"/>
    <w:rsid w:val="007D6542"/>
    <w:rsid w:val="007E4403"/>
    <w:rsid w:val="007E63ED"/>
    <w:rsid w:val="007E6DDE"/>
    <w:rsid w:val="007E6E5A"/>
    <w:rsid w:val="00803B70"/>
    <w:rsid w:val="00803F1C"/>
    <w:rsid w:val="008046D6"/>
    <w:rsid w:val="00804F45"/>
    <w:rsid w:val="00805D88"/>
    <w:rsid w:val="00806E48"/>
    <w:rsid w:val="00810BAC"/>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B01"/>
    <w:rsid w:val="008A768E"/>
    <w:rsid w:val="008B35CA"/>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70DE"/>
    <w:rsid w:val="00906DA4"/>
    <w:rsid w:val="00907B9C"/>
    <w:rsid w:val="00912FEE"/>
    <w:rsid w:val="00916604"/>
    <w:rsid w:val="009202D6"/>
    <w:rsid w:val="0092114C"/>
    <w:rsid w:val="009229EB"/>
    <w:rsid w:val="00923CCE"/>
    <w:rsid w:val="00924DB6"/>
    <w:rsid w:val="00926449"/>
    <w:rsid w:val="009311FA"/>
    <w:rsid w:val="00933DF8"/>
    <w:rsid w:val="00934092"/>
    <w:rsid w:val="00934D85"/>
    <w:rsid w:val="00936969"/>
    <w:rsid w:val="00940F3E"/>
    <w:rsid w:val="00942D57"/>
    <w:rsid w:val="00942D76"/>
    <w:rsid w:val="009436E1"/>
    <w:rsid w:val="00945A3F"/>
    <w:rsid w:val="00947CE0"/>
    <w:rsid w:val="00950196"/>
    <w:rsid w:val="00951485"/>
    <w:rsid w:val="00951A3B"/>
    <w:rsid w:val="0095282A"/>
    <w:rsid w:val="009634AB"/>
    <w:rsid w:val="00963CFF"/>
    <w:rsid w:val="009646EC"/>
    <w:rsid w:val="00965022"/>
    <w:rsid w:val="00976CEA"/>
    <w:rsid w:val="00977071"/>
    <w:rsid w:val="00990B45"/>
    <w:rsid w:val="00995B1E"/>
    <w:rsid w:val="0099696F"/>
    <w:rsid w:val="009A5E80"/>
    <w:rsid w:val="009B18FB"/>
    <w:rsid w:val="009B1DFD"/>
    <w:rsid w:val="009B24FA"/>
    <w:rsid w:val="009B2E69"/>
    <w:rsid w:val="009B35E4"/>
    <w:rsid w:val="009B4AA7"/>
    <w:rsid w:val="009C3FED"/>
    <w:rsid w:val="009C5A51"/>
    <w:rsid w:val="009D043A"/>
    <w:rsid w:val="009D6B8F"/>
    <w:rsid w:val="009E22D7"/>
    <w:rsid w:val="009E3529"/>
    <w:rsid w:val="009E3B7F"/>
    <w:rsid w:val="009E6F68"/>
    <w:rsid w:val="009F2632"/>
    <w:rsid w:val="009F335E"/>
    <w:rsid w:val="009F3DA9"/>
    <w:rsid w:val="009F6C5A"/>
    <w:rsid w:val="009F7503"/>
    <w:rsid w:val="00A01DA0"/>
    <w:rsid w:val="00A0549A"/>
    <w:rsid w:val="00A05B41"/>
    <w:rsid w:val="00A05D53"/>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6942"/>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A537C"/>
    <w:rsid w:val="00AB0768"/>
    <w:rsid w:val="00AB1494"/>
    <w:rsid w:val="00AB48B4"/>
    <w:rsid w:val="00AC42D8"/>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5311"/>
    <w:rsid w:val="00B17BB6"/>
    <w:rsid w:val="00B20494"/>
    <w:rsid w:val="00B213B3"/>
    <w:rsid w:val="00B216C6"/>
    <w:rsid w:val="00B23E72"/>
    <w:rsid w:val="00B24755"/>
    <w:rsid w:val="00B24D61"/>
    <w:rsid w:val="00B30B15"/>
    <w:rsid w:val="00B30EB2"/>
    <w:rsid w:val="00B31589"/>
    <w:rsid w:val="00B3179A"/>
    <w:rsid w:val="00B33423"/>
    <w:rsid w:val="00B34911"/>
    <w:rsid w:val="00B40136"/>
    <w:rsid w:val="00B46324"/>
    <w:rsid w:val="00B50FF2"/>
    <w:rsid w:val="00B51A8A"/>
    <w:rsid w:val="00B529B6"/>
    <w:rsid w:val="00B52ED3"/>
    <w:rsid w:val="00B60785"/>
    <w:rsid w:val="00B61628"/>
    <w:rsid w:val="00B643B0"/>
    <w:rsid w:val="00B67E1F"/>
    <w:rsid w:val="00B70705"/>
    <w:rsid w:val="00B72CFA"/>
    <w:rsid w:val="00B7459B"/>
    <w:rsid w:val="00B752AA"/>
    <w:rsid w:val="00B84B75"/>
    <w:rsid w:val="00B901E3"/>
    <w:rsid w:val="00B90267"/>
    <w:rsid w:val="00B9399C"/>
    <w:rsid w:val="00B95DF0"/>
    <w:rsid w:val="00BB2A90"/>
    <w:rsid w:val="00BB3DCC"/>
    <w:rsid w:val="00BB3F1A"/>
    <w:rsid w:val="00BB484E"/>
    <w:rsid w:val="00BB55E9"/>
    <w:rsid w:val="00BC0AA5"/>
    <w:rsid w:val="00BC4A4A"/>
    <w:rsid w:val="00BC6BCD"/>
    <w:rsid w:val="00BC6F4B"/>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368"/>
    <w:rsid w:val="00C13C80"/>
    <w:rsid w:val="00C1426F"/>
    <w:rsid w:val="00C2058A"/>
    <w:rsid w:val="00C23712"/>
    <w:rsid w:val="00C258C8"/>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1ADC"/>
    <w:rsid w:val="00CA6F48"/>
    <w:rsid w:val="00CB4451"/>
    <w:rsid w:val="00CB65FF"/>
    <w:rsid w:val="00CC20B7"/>
    <w:rsid w:val="00CC2B0B"/>
    <w:rsid w:val="00CC60B4"/>
    <w:rsid w:val="00CD62CB"/>
    <w:rsid w:val="00CD765B"/>
    <w:rsid w:val="00CF33B2"/>
    <w:rsid w:val="00CF3543"/>
    <w:rsid w:val="00CF3F59"/>
    <w:rsid w:val="00CF4EAC"/>
    <w:rsid w:val="00CF7179"/>
    <w:rsid w:val="00D07139"/>
    <w:rsid w:val="00D118C9"/>
    <w:rsid w:val="00D1567E"/>
    <w:rsid w:val="00D25E5A"/>
    <w:rsid w:val="00D33336"/>
    <w:rsid w:val="00D33CB4"/>
    <w:rsid w:val="00D3675E"/>
    <w:rsid w:val="00D43C31"/>
    <w:rsid w:val="00D45D23"/>
    <w:rsid w:val="00D465B0"/>
    <w:rsid w:val="00D47937"/>
    <w:rsid w:val="00D51BDB"/>
    <w:rsid w:val="00D57160"/>
    <w:rsid w:val="00D600DC"/>
    <w:rsid w:val="00D62432"/>
    <w:rsid w:val="00D6511D"/>
    <w:rsid w:val="00D66A1A"/>
    <w:rsid w:val="00D6710A"/>
    <w:rsid w:val="00D6781A"/>
    <w:rsid w:val="00D67F07"/>
    <w:rsid w:val="00D73E01"/>
    <w:rsid w:val="00D76318"/>
    <w:rsid w:val="00D774E0"/>
    <w:rsid w:val="00D77E67"/>
    <w:rsid w:val="00D81361"/>
    <w:rsid w:val="00D82A37"/>
    <w:rsid w:val="00D870DC"/>
    <w:rsid w:val="00D873BC"/>
    <w:rsid w:val="00D91085"/>
    <w:rsid w:val="00D91C23"/>
    <w:rsid w:val="00D930C2"/>
    <w:rsid w:val="00D9478B"/>
    <w:rsid w:val="00D97665"/>
    <w:rsid w:val="00D97F26"/>
    <w:rsid w:val="00DA08FC"/>
    <w:rsid w:val="00DA357C"/>
    <w:rsid w:val="00DA5100"/>
    <w:rsid w:val="00DA555F"/>
    <w:rsid w:val="00DC3A3F"/>
    <w:rsid w:val="00DD02DC"/>
    <w:rsid w:val="00DD1190"/>
    <w:rsid w:val="00DD29FA"/>
    <w:rsid w:val="00DD2DDD"/>
    <w:rsid w:val="00DD5A97"/>
    <w:rsid w:val="00DE2DA2"/>
    <w:rsid w:val="00DE37D5"/>
    <w:rsid w:val="00DF2343"/>
    <w:rsid w:val="00DF594A"/>
    <w:rsid w:val="00DF62AE"/>
    <w:rsid w:val="00E012A2"/>
    <w:rsid w:val="00E04ED0"/>
    <w:rsid w:val="00E11E49"/>
    <w:rsid w:val="00E15012"/>
    <w:rsid w:val="00E15097"/>
    <w:rsid w:val="00E165AF"/>
    <w:rsid w:val="00E16A48"/>
    <w:rsid w:val="00E22CE1"/>
    <w:rsid w:val="00E247CF"/>
    <w:rsid w:val="00E278FB"/>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A0EBE"/>
    <w:rsid w:val="00EA1D36"/>
    <w:rsid w:val="00EA202A"/>
    <w:rsid w:val="00EB2900"/>
    <w:rsid w:val="00EB7062"/>
    <w:rsid w:val="00EC216A"/>
    <w:rsid w:val="00EC3E99"/>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5593"/>
    <w:rsid w:val="00F064DF"/>
    <w:rsid w:val="00F10BBB"/>
    <w:rsid w:val="00F10EAA"/>
    <w:rsid w:val="00F1269E"/>
    <w:rsid w:val="00F16379"/>
    <w:rsid w:val="00F170F6"/>
    <w:rsid w:val="00F21643"/>
    <w:rsid w:val="00F24EDA"/>
    <w:rsid w:val="00F27BDE"/>
    <w:rsid w:val="00F304E7"/>
    <w:rsid w:val="00F306D1"/>
    <w:rsid w:val="00F31128"/>
    <w:rsid w:val="00F315E5"/>
    <w:rsid w:val="00F31F42"/>
    <w:rsid w:val="00F34052"/>
    <w:rsid w:val="00F35663"/>
    <w:rsid w:val="00F401D5"/>
    <w:rsid w:val="00F40BB9"/>
    <w:rsid w:val="00F40DD2"/>
    <w:rsid w:val="00F466B6"/>
    <w:rsid w:val="00F4708F"/>
    <w:rsid w:val="00F474AA"/>
    <w:rsid w:val="00F47BDE"/>
    <w:rsid w:val="00F50051"/>
    <w:rsid w:val="00F5753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6900"/>
    <w:rsid w:val="00FC152C"/>
    <w:rsid w:val="00FC29A8"/>
    <w:rsid w:val="00FC31DA"/>
    <w:rsid w:val="00FC468F"/>
    <w:rsid w:val="00FC6D77"/>
    <w:rsid w:val="00FD37D7"/>
    <w:rsid w:val="00FD3A96"/>
    <w:rsid w:val="00FD3E97"/>
    <w:rsid w:val="00FD4FF4"/>
    <w:rsid w:val="00FD58BF"/>
    <w:rsid w:val="00FD5ECE"/>
    <w:rsid w:val="00FE27E6"/>
    <w:rsid w:val="00FE3543"/>
    <w:rsid w:val="00FF0740"/>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F53C"/>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customStyle="1" w:styleId="UnresolvedMention">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BDC2-DEBA-4DFE-93D2-C733A6559E5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40F4E71-3B68-4428-A082-88F74B8D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7536</Words>
  <Characters>45217</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Osobliwy Katarzyna</cp:lastModifiedBy>
  <cp:revision>13</cp:revision>
  <cp:lastPrinted>2025-03-04T09:00:00Z</cp:lastPrinted>
  <dcterms:created xsi:type="dcterms:W3CDTF">2025-03-04T11:14:00Z</dcterms:created>
  <dcterms:modified xsi:type="dcterms:W3CDTF">2025-03-24T07:05:00Z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458d355e-92bf-4b19-8c1a-ddf6f408b1cd</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