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“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Opracowanie dokumentacji projektowej wraz z analizą rzeczowo-finansową dla zadania pn. “Budowa budynków wielorodzinnych w gminie Lubawa 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P2025/5 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 (%)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projektowej w kwocie brutto: …………………………..</w:t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</w:p>
    <w:p w:rsidR="00000000" w:rsidDel="00000000" w:rsidP="00000000" w:rsidRDefault="00000000" w:rsidRPr="00000000" w14:paraId="0000003B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sie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BIM</w:t>
      </w:r>
      <w:r w:rsidDel="00000000" w:rsidR="00000000" w:rsidRPr="00000000">
        <w:rPr>
          <w:sz w:val="24"/>
          <w:szCs w:val="24"/>
          <w:rtl w:val="0"/>
        </w:rPr>
        <w:t xml:space="preserve">: TAK/NIE*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C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0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Arial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EZIHmIEiEgl+U2x1XvfeasYptw==">CgMxLjAyCGguZ2pkZ3hzMgloLjMwajB6bGwyDmguMmRmcTR1NWVldmlhMgloLjFmb2I5dGUyCWguMmV0OTJwMDIIaC50eWpjd3Q4AGonChRzdWdnZXN0LmMzd3ByaDdyc3l3eBIPT2xnYSBHdcW6bmljemFraicKFHN1Z2dlc3QudXNpM3F0MjM0ajZsEg9PbGdhIEd1xbpuaWN6YWtqJwoUc3VnZ2VzdC5tZzNhZHZnYjN0NDQSD09sZ2EgR3XFum5pY3pha2ojChRzdWdnZXN0LmN2bzR2bzFuYmRiMRILS2Fyb2wgTm93YWtqIwoUc3VnZ2VzdC5teWxrd3lqNng3b2ESC0thcm9sIE5vd2FrciExcHFyX201X3ZCNWYya2lwZmVpckhvR1FNS2NwcDdfd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