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76EB6" w:rsidRPr="008C2E95" w14:paraId="6FFDF7EA" w14:textId="77777777" w:rsidTr="00176EB6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76EB6" w:rsidRPr="0026259B" w14:paraId="41B2EEB2" w14:textId="77777777" w:rsidTr="00D551CC">
              <w:tc>
                <w:tcPr>
                  <w:tcW w:w="5000" w:type="pct"/>
                  <w:hideMark/>
                </w:tcPr>
                <w:p w14:paraId="49078CD7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26259B">
                    <w:rPr>
                      <w:b/>
                      <w:sz w:val="22"/>
                      <w:szCs w:val="22"/>
                    </w:rPr>
                    <w:t>„</w:t>
                  </w:r>
                  <w:r w:rsidRPr="0026259B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26259B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76EB6" w:rsidRPr="0026259B" w14:paraId="20BBE991" w14:textId="77777777" w:rsidTr="00D551CC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76EB6" w:rsidRPr="0026259B" w14:paraId="0002135C" w14:textId="77777777" w:rsidTr="00DB7133">
                    <w:tc>
                      <w:tcPr>
                        <w:tcW w:w="5000" w:type="pct"/>
                      </w:tcPr>
                      <w:p w14:paraId="087BED4C" w14:textId="77777777" w:rsidR="00176EB6" w:rsidRPr="0026259B" w:rsidRDefault="00176EB6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Komendant </w:t>
                        </w:r>
                        <w:r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br/>
                          <w:t>4 Regionalnej Bazy Logistycznej</w:t>
                        </w:r>
                      </w:p>
                      <w:p w14:paraId="154B2CCB" w14:textId="77777777" w:rsidR="00176EB6" w:rsidRPr="0026259B" w:rsidRDefault="00176EB6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76EB6" w:rsidRPr="0026259B" w14:paraId="173A931D" w14:textId="77777777" w:rsidTr="00DB7133">
                    <w:tc>
                      <w:tcPr>
                        <w:tcW w:w="5000" w:type="pct"/>
                        <w:hideMark/>
                      </w:tcPr>
                      <w:p w14:paraId="6AAD58F5" w14:textId="77777777" w:rsidR="00176EB6" w:rsidRPr="0026259B" w:rsidRDefault="00176EB6" w:rsidP="00176EB6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26259B">
                          <w:rPr>
                            <w:sz w:val="22"/>
                            <w:szCs w:val="22"/>
                            <w:lang w:eastAsia="en-US"/>
                          </w:rPr>
                          <w:t>wz. płk Jacek SZMALENBERG /-/</w:t>
                        </w:r>
                      </w:p>
                    </w:tc>
                  </w:tr>
                </w:tbl>
                <w:p w14:paraId="3D2A7449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75C95D27" w:rsidR="00176EB6" w:rsidRPr="002139C9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176EB6" w:rsidRPr="004D1E5A" w14:paraId="1B544353" w14:textId="77777777" w:rsidTr="00176EB6">
        <w:tc>
          <w:tcPr>
            <w:tcW w:w="5000" w:type="pct"/>
          </w:tcPr>
          <w:p w14:paraId="6F25E1CC" w14:textId="77777777" w:rsidR="00176EB6" w:rsidRPr="008C2E95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70FC3" w:rsidRPr="00ED3CCC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70FC3" w:rsidRPr="0085704D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70FC3" w:rsidRPr="00ED3CCC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70FC3" w:rsidRPr="0085704D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7AE08B9E" w:rsidR="00070FC3" w:rsidRPr="009861E0" w:rsidRDefault="00070FC3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</w:pPr>
                            <w:bookmarkStart w:id="0" w:name="_Hlk113956040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dostawa </w:t>
                            </w:r>
                            <w:bookmarkStart w:id="1" w:name="_Hlk180655256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="002139C9"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sprzęt warsztatowy – </w:t>
                            </w:r>
                            <w:r w:rsidR="00176EB6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>destylarka laboratoryjna</w:t>
                            </w:r>
                            <w:r w:rsidR="002139C9" w:rsidRPr="009861E0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261C3B97" w14:textId="4E2A2ECE" w:rsidR="00070FC3" w:rsidRPr="00176EB6" w:rsidRDefault="00070FC3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9861E0">
                              <w:rPr>
                                <w:smallCaps/>
                                <w:sz w:val="22"/>
                                <w:szCs w:val="24"/>
                              </w:rPr>
                              <w:t xml:space="preserve">nr sprawy: </w:t>
                            </w:r>
                            <w:r w:rsidR="00176EB6"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tech/</w:t>
                            </w:r>
                            <w:r w:rsidR="00176EB6" w:rsidRPr="00176EB6">
                              <w:rPr>
                                <w:b/>
                                <w:smallCaps/>
                              </w:rPr>
                              <w:t>60</w:t>
                            </w:r>
                            <w:r w:rsidR="00176EB6"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/pz/</w:t>
                            </w:r>
                            <w:r w:rsidR="00176EB6" w:rsidRPr="00176EB6">
                              <w:rPr>
                                <w:b/>
                                <w:smallCaps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7AE08B9E" w:rsidR="00070FC3" w:rsidRPr="009861E0" w:rsidRDefault="00070FC3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</w:pPr>
                      <w:bookmarkStart w:id="2" w:name="_Hlk113956040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dostawa </w:t>
                      </w:r>
                      <w:bookmarkStart w:id="3" w:name="_Hlk180655256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– </w:t>
                      </w:r>
                      <w:bookmarkEnd w:id="3"/>
                      <w:r w:rsidR="002139C9"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sprzęt warsztatowy – </w:t>
                      </w:r>
                      <w:r w:rsidR="00176EB6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>destylarka laboratoryjna</w:t>
                      </w:r>
                      <w:r w:rsidR="002139C9" w:rsidRPr="009861E0"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</w:p>
                    <w:bookmarkEnd w:id="2"/>
                    <w:p w14:paraId="261C3B97" w14:textId="4E2A2ECE" w:rsidR="00070FC3" w:rsidRPr="00176EB6" w:rsidRDefault="00070FC3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9861E0">
                        <w:rPr>
                          <w:smallCaps/>
                          <w:sz w:val="22"/>
                          <w:szCs w:val="24"/>
                        </w:rPr>
                        <w:t xml:space="preserve">nr sprawy: </w:t>
                      </w:r>
                      <w:r w:rsidR="00176EB6"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tech/</w:t>
                      </w:r>
                      <w:r w:rsidR="00176EB6" w:rsidRPr="00176EB6">
                        <w:rPr>
                          <w:b/>
                          <w:smallCaps/>
                        </w:rPr>
                        <w:t>60</w:t>
                      </w:r>
                      <w:r w:rsidR="00176EB6"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/pz/</w:t>
                      </w:r>
                      <w:r w:rsidR="00176EB6" w:rsidRPr="00176EB6">
                        <w:rPr>
                          <w:b/>
                          <w:smallCaps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06D8073D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384E1C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2E423C5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D87F7C5" w14:textId="77777777" w:rsidR="00C93E86" w:rsidRPr="00774C92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176EB6">
        <w:trPr>
          <w:trHeight w:val="274"/>
        </w:trPr>
        <w:tc>
          <w:tcPr>
            <w:tcW w:w="5000" w:type="pct"/>
            <w:shd w:val="clear" w:color="auto" w:fill="EAF1DD" w:themeFill="accent3" w:themeFillTint="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4BE5329B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00A88" w:rsidRPr="00B00A88">
        <w:rPr>
          <w:b/>
          <w:smallCaps/>
          <w:color w:val="000000"/>
          <w:sz w:val="22"/>
          <w:szCs w:val="22"/>
        </w:rPr>
        <w:t xml:space="preserve">– </w:t>
      </w:r>
      <w:r w:rsidR="00176EB6">
        <w:rPr>
          <w:b/>
          <w:smallCaps/>
          <w:color w:val="000000"/>
          <w:sz w:val="22"/>
          <w:szCs w:val="22"/>
        </w:rPr>
        <w:t xml:space="preserve">sprzęt warsztatowy – destylarka laboratoryjna </w:t>
      </w:r>
      <w:r w:rsidR="00176EB6" w:rsidRPr="00FB1CCB">
        <w:rPr>
          <w:sz w:val="22"/>
          <w:szCs w:val="22"/>
        </w:rPr>
        <w:t>wg</w:t>
      </w:r>
      <w:r w:rsidRPr="00FB1CCB">
        <w:rPr>
          <w:sz w:val="22"/>
          <w:szCs w:val="22"/>
        </w:rPr>
        <w:t xml:space="preserve">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4E63CA0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070FC3">
        <w:rPr>
          <w:b/>
          <w:i/>
          <w:sz w:val="22"/>
          <w:szCs w:val="22"/>
        </w:rPr>
        <w:t>43800000-1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16DEADC6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0A61C9">
        <w:rPr>
          <w:sz w:val="22"/>
          <w:szCs w:val="22"/>
        </w:rPr>
        <w:t>4 Regionalnej Bazy Logistycznej – Skład Milicz,  ul. Wojska Polskiego 30, 56-300 Milicz,</w:t>
      </w:r>
      <w:r w:rsidR="00176EB6">
        <w:rPr>
          <w:sz w:val="22"/>
          <w:szCs w:val="22"/>
        </w:rPr>
        <w:t xml:space="preserve"> (</w:t>
      </w:r>
      <w:r w:rsidR="000A61C9" w:rsidRPr="00073C95">
        <w:rPr>
          <w:bCs/>
          <w:sz w:val="22"/>
          <w:szCs w:val="22"/>
        </w:rPr>
        <w:t xml:space="preserve">zgodnie z zapisami </w:t>
      </w:r>
      <w:r w:rsidR="000A61C9">
        <w:rPr>
          <w:bCs/>
          <w:sz w:val="22"/>
          <w:szCs w:val="22"/>
        </w:rPr>
        <w:t>P</w:t>
      </w:r>
      <w:r w:rsidR="000A61C9" w:rsidRPr="00073C95">
        <w:rPr>
          <w:bCs/>
          <w:sz w:val="22"/>
          <w:szCs w:val="22"/>
        </w:rPr>
        <w:t>rojektowanych postanowień umowy stanowiących</w:t>
      </w:r>
      <w:r w:rsidR="000A61C9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 </w:t>
      </w:r>
      <w:r w:rsidR="0097237C" w:rsidRPr="0097237C">
        <w:rPr>
          <w:b/>
          <w:i/>
          <w:sz w:val="22"/>
          <w:szCs w:val="22"/>
        </w:rPr>
        <w:t>Załącznik nr 2 do SWZ</w:t>
      </w:r>
      <w:r w:rsidR="0097237C" w:rsidRPr="00176EB6">
        <w:rPr>
          <w:i/>
          <w:sz w:val="22"/>
          <w:szCs w:val="22"/>
        </w:rPr>
        <w:t>)</w:t>
      </w:r>
      <w:r w:rsidR="0097237C" w:rsidRPr="00176EB6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>(</w:t>
      </w:r>
      <w:r w:rsidR="00F14867" w:rsidRPr="00F1329C">
        <w:rPr>
          <w:strike/>
          <w:sz w:val="22"/>
          <w:szCs w:val="22"/>
        </w:rPr>
        <w:t>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</w:t>
      </w:r>
      <w:bookmarkStart w:id="3" w:name="_GoBack"/>
      <w:bookmarkEnd w:id="3"/>
      <w:r w:rsidR="008E0644" w:rsidRPr="00DE2611">
        <w:rPr>
          <w:sz w:val="22"/>
          <w:szCs w:val="22"/>
        </w:rPr>
        <w:t>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E62FCD">
        <w:trPr>
          <w:trHeight w:val="426"/>
        </w:trPr>
        <w:tc>
          <w:tcPr>
            <w:tcW w:w="5000" w:type="pct"/>
            <w:shd w:val="clear" w:color="auto" w:fill="EAF1DD" w:themeFill="accent3" w:themeFillTint="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E62FCD">
        <w:tc>
          <w:tcPr>
            <w:tcW w:w="8755" w:type="dxa"/>
            <w:shd w:val="clear" w:color="auto" w:fill="EAF1DD" w:themeFill="accent3" w:themeFillTint="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4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5" w:name="_Hlk83727609"/>
      <w:bookmarkEnd w:id="4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5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6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6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121F6A" w:rsidRDefault="00121F6A" w:rsidP="00121F6A">
      <w:pPr>
        <w:spacing w:after="60"/>
        <w:ind w:hanging="170"/>
        <w:rPr>
          <w:color w:val="000000"/>
          <w:sz w:val="22"/>
          <w:szCs w:val="22"/>
        </w:rPr>
      </w:pP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E62FCD">
        <w:trPr>
          <w:jc w:val="center"/>
        </w:trPr>
        <w:tc>
          <w:tcPr>
            <w:tcW w:w="8619" w:type="dxa"/>
            <w:shd w:val="clear" w:color="auto" w:fill="EAF1DD" w:themeFill="accent3" w:themeFillTint="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7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8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9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7"/>
      <w:bookmarkEnd w:id="9"/>
      <w:r w:rsidR="005805AD" w:rsidRPr="0094774C">
        <w:rPr>
          <w:sz w:val="22"/>
          <w:szCs w:val="22"/>
        </w:rPr>
        <w:t>.</w:t>
      </w:r>
    </w:p>
    <w:bookmarkEnd w:id="8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384E1C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0" w:name="_Hlk110925872"/>
      <w:bookmarkStart w:id="11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0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2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2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3" w:name="_Hlk110925929"/>
      <w:bookmarkEnd w:id="11"/>
      <w:r>
        <w:rPr>
          <w:b/>
          <w:sz w:val="22"/>
          <w:szCs w:val="22"/>
        </w:rPr>
        <w:lastRenderedPageBreak/>
        <w:t>Sposób składania dokumentów przez</w:t>
      </w:r>
      <w:bookmarkEnd w:id="13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4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4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5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6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6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7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7"/>
      <w:r w:rsidRPr="00CA24FE">
        <w:rPr>
          <w:color w:val="000000"/>
          <w:sz w:val="22"/>
          <w:szCs w:val="22"/>
        </w:rPr>
        <w:t xml:space="preserve">. </w:t>
      </w:r>
    </w:p>
    <w:bookmarkEnd w:id="15"/>
    <w:p w14:paraId="0924D703" w14:textId="7D590FD2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5CC0E499" w14:textId="77777777" w:rsidR="00523F62" w:rsidRPr="00116F76" w:rsidRDefault="00523F62" w:rsidP="00523F62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E62FCD">
        <w:tc>
          <w:tcPr>
            <w:tcW w:w="5000" w:type="pct"/>
            <w:shd w:val="clear" w:color="auto" w:fill="EAF1DD" w:themeFill="accent3" w:themeFillTint="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6FFDC223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E62FCD">
        <w:rPr>
          <w:b/>
          <w:sz w:val="22"/>
          <w:szCs w:val="22"/>
        </w:rPr>
        <w:t>60</w:t>
      </w:r>
      <w:r w:rsidR="00A34499">
        <w:rPr>
          <w:b/>
          <w:sz w:val="22"/>
          <w:szCs w:val="22"/>
        </w:rPr>
        <w:t>/</w:t>
      </w:r>
      <w:r w:rsidR="00E62FCD">
        <w:rPr>
          <w:b/>
          <w:sz w:val="22"/>
          <w:szCs w:val="22"/>
        </w:rPr>
        <w:t>PZ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Aktywacja następuje poprzez wybranie przekierowania na platformazakupowa.pl, które jest zamieszczone w przesłanej wiadomości e-mail. Z tą chwilą zawarta zostaje </w:t>
      </w:r>
      <w:r w:rsidRPr="00223F9D">
        <w:rPr>
          <w:sz w:val="22"/>
          <w:szCs w:val="22"/>
        </w:rPr>
        <w:lastRenderedPageBreak/>
        <w:t>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8" w:name="_heading=h.3dy6vkm" w:colFirst="0" w:colLast="0"/>
      <w:bookmarkEnd w:id="18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9" w:name="_heading=h.1t3h5sf" w:colFirst="0" w:colLast="0"/>
            <w:bookmarkEnd w:id="19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680BBBA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F34807">
        <w:rPr>
          <w:b/>
          <w:color w:val="FF0000"/>
          <w:sz w:val="22"/>
          <w:szCs w:val="22"/>
        </w:rPr>
        <w:t>25</w:t>
      </w:r>
      <w:r w:rsidR="002B2789" w:rsidRPr="00A2512B">
        <w:rPr>
          <w:b/>
          <w:color w:val="FF0000"/>
          <w:sz w:val="22"/>
          <w:szCs w:val="22"/>
        </w:rPr>
        <w:t>.0</w:t>
      </w:r>
      <w:r w:rsidR="007A7372">
        <w:rPr>
          <w:b/>
          <w:color w:val="FF0000"/>
          <w:sz w:val="22"/>
          <w:szCs w:val="22"/>
        </w:rPr>
        <w:t>7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</w:t>
      </w:r>
      <w:r w:rsidRPr="009549F8">
        <w:rPr>
          <w:sz w:val="22"/>
          <w:szCs w:val="22"/>
        </w:rPr>
        <w:lastRenderedPageBreak/>
        <w:t xml:space="preserve">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</w:t>
      </w:r>
      <w:r w:rsidRPr="00223F9D">
        <w:rPr>
          <w:sz w:val="22"/>
          <w:szCs w:val="22"/>
        </w:rPr>
        <w:lastRenderedPageBreak/>
        <w:t xml:space="preserve">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</w:t>
      </w:r>
      <w:r w:rsidRPr="00976E69">
        <w:rPr>
          <w:bCs/>
          <w:sz w:val="22"/>
          <w:szCs w:val="22"/>
        </w:rPr>
        <w:lastRenderedPageBreak/>
        <w:t xml:space="preserve">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E62FCD">
        <w:trPr>
          <w:trHeight w:val="309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6CEBB6A1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E62FCD">
        <w:rPr>
          <w:b/>
          <w:color w:val="FF0000"/>
          <w:sz w:val="22"/>
          <w:szCs w:val="22"/>
        </w:rPr>
        <w:t>28</w:t>
      </w:r>
      <w:r w:rsidR="002B2789" w:rsidRPr="005016E2">
        <w:rPr>
          <w:b/>
          <w:color w:val="FF0000"/>
          <w:sz w:val="22"/>
          <w:szCs w:val="22"/>
        </w:rPr>
        <w:t>.</w:t>
      </w:r>
      <w:r w:rsidR="005016E2">
        <w:rPr>
          <w:b/>
          <w:color w:val="FF0000"/>
          <w:sz w:val="22"/>
          <w:szCs w:val="22"/>
        </w:rPr>
        <w:t>04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220E082B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E62FCD">
        <w:rPr>
          <w:rStyle w:val="Hipercze"/>
          <w:b/>
          <w:color w:val="FF0000"/>
          <w:sz w:val="22"/>
          <w:szCs w:val="22"/>
          <w:u w:val="none"/>
        </w:rPr>
        <w:t>28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5016E2" w:rsidRPr="005016E2">
        <w:rPr>
          <w:rStyle w:val="Hipercze"/>
          <w:b/>
          <w:bCs/>
          <w:color w:val="FF0000"/>
          <w:sz w:val="22"/>
          <w:szCs w:val="22"/>
          <w:u w:val="none"/>
        </w:rPr>
        <w:t>04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lastRenderedPageBreak/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F34807">
        <w:trPr>
          <w:trHeight w:val="25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E9E0B50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</w:t>
      </w:r>
      <w:r w:rsidR="00184F09">
        <w:rPr>
          <w:color w:val="000000"/>
          <w:sz w:val="22"/>
          <w:szCs w:val="22"/>
        </w:rPr>
        <w:t>O</w:t>
      </w:r>
      <w:r w:rsidR="00BA25EB" w:rsidRPr="00F46B7B">
        <w:rPr>
          <w:color w:val="000000"/>
          <w:sz w:val="22"/>
          <w:szCs w:val="22"/>
        </w:rPr>
        <w:t>ferty z właściwą stawka VAT będą traktowane jako niezawierające błędów, porównywalne i podlegające dalszej ocenie.</w:t>
      </w:r>
      <w:r w:rsidR="00184F09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lastRenderedPageBreak/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DBC1E9B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34EF2BC0" w14:textId="77777777" w:rsidR="00F34807" w:rsidRDefault="00F34807" w:rsidP="00F34807">
      <w:pPr>
        <w:spacing w:before="120" w:after="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F34807" w14:paraId="28265A2C" w14:textId="77777777" w:rsidTr="00F34807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0970EDC" w14:textId="23AEA351" w:rsidR="00C93E86" w:rsidRPr="00F34807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F3480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3E86" w:rsidRPr="00F34807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F34807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F34807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F34807">
              <w:rPr>
                <w:b/>
                <w:smallCaps/>
                <w:sz w:val="24"/>
                <w:szCs w:val="24"/>
              </w:rPr>
              <w:t xml:space="preserve">muszą </w:t>
            </w:r>
            <w:r w:rsidRPr="00F34807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F34807">
        <w:trPr>
          <w:trHeight w:val="253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6016A4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lastRenderedPageBreak/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F34807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lastRenderedPageBreak/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7B20E30" w14:textId="63425CBB" w:rsidR="00F34807" w:rsidRDefault="00EC3700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2E1A72C7" w:rsidR="004E1F59" w:rsidRPr="003056FC" w:rsidRDefault="002B67D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pan</w:t>
            </w:r>
            <w:r w:rsidR="00BB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429083D" w14:textId="570BA8BA" w:rsidR="00F34807" w:rsidRDefault="00EC3700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4CD622F5" w14:textId="6807893E" w:rsidR="004E1F59" w:rsidRPr="003056FC" w:rsidRDefault="002B67D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mjr Radosław </w:t>
            </w:r>
            <w:r w:rsidR="00BB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TELEŻYŃSKI</w:t>
            </w:r>
          </w:p>
        </w:tc>
      </w:tr>
      <w:tr w:rsidR="004E1F59" w:rsidRPr="003056FC" w14:paraId="4631E194" w14:textId="77777777" w:rsidTr="00F34807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187EBFB" w14:textId="3D1E6C57" w:rsidR="00F34807" w:rsidRDefault="00EC3700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5A7A0FB3" w14:textId="31FC8352" w:rsidR="00C94B9A" w:rsidRPr="003056FC" w:rsidRDefault="004E2A9D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4B9A">
              <w:rPr>
                <w:sz w:val="24"/>
                <w:szCs w:val="24"/>
              </w:rPr>
              <w:t>pan</w:t>
            </w:r>
            <w:r w:rsidR="007A784C">
              <w:rPr>
                <w:sz w:val="24"/>
                <w:szCs w:val="24"/>
              </w:rPr>
              <w:t>i</w:t>
            </w:r>
            <w:r w:rsidR="00C94B9A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Patrycja</w:t>
            </w:r>
            <w:r w:rsidR="00C94B9A">
              <w:rPr>
                <w:sz w:val="24"/>
                <w:szCs w:val="24"/>
              </w:rPr>
              <w:t xml:space="preserve"> </w:t>
            </w:r>
            <w:r w:rsidR="00F149FE">
              <w:rPr>
                <w:sz w:val="24"/>
                <w:szCs w:val="24"/>
              </w:rPr>
              <w:t>ZIARNO-GARULA</w:t>
            </w: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C5B2" w14:textId="77777777" w:rsidR="00384E1C" w:rsidRDefault="00384E1C">
      <w:pPr>
        <w:spacing w:after="0"/>
      </w:pPr>
      <w:r>
        <w:separator/>
      </w:r>
    </w:p>
  </w:endnote>
  <w:endnote w:type="continuationSeparator" w:id="0">
    <w:p w14:paraId="0982DEF4" w14:textId="77777777" w:rsidR="00384E1C" w:rsidRDefault="00384E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2FA5F1D2" w:rsidR="00070FC3" w:rsidRPr="00EF0CE1" w:rsidRDefault="00070FC3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9861E0"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8E524" w14:textId="77777777" w:rsidR="00384E1C" w:rsidRDefault="00384E1C">
      <w:pPr>
        <w:spacing w:after="0"/>
      </w:pPr>
      <w:r>
        <w:separator/>
      </w:r>
    </w:p>
  </w:footnote>
  <w:footnote w:type="continuationSeparator" w:id="0">
    <w:p w14:paraId="5F20319F" w14:textId="77777777" w:rsidR="00384E1C" w:rsidRDefault="00384E1C">
      <w:pPr>
        <w:spacing w:after="0"/>
      </w:pPr>
      <w:r>
        <w:continuationSeparator/>
      </w:r>
    </w:p>
  </w:footnote>
  <w:footnote w:id="1">
    <w:p w14:paraId="4B040935" w14:textId="77777777" w:rsidR="00070FC3" w:rsidRPr="006B27F5" w:rsidRDefault="00070FC3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3A71"/>
    <w:rsid w:val="00084E6E"/>
    <w:rsid w:val="000901B7"/>
    <w:rsid w:val="00091933"/>
    <w:rsid w:val="0009197A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76EB6"/>
    <w:rsid w:val="00181D98"/>
    <w:rsid w:val="00184A86"/>
    <w:rsid w:val="00184F09"/>
    <w:rsid w:val="00185474"/>
    <w:rsid w:val="0018591C"/>
    <w:rsid w:val="00187B01"/>
    <w:rsid w:val="00187C38"/>
    <w:rsid w:val="00190C81"/>
    <w:rsid w:val="00190DAF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68A6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352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66C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4E1C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428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4DAA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3F6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C7C56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6979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1AD8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2FCD"/>
    <w:rsid w:val="00E63568"/>
    <w:rsid w:val="00E65CC5"/>
    <w:rsid w:val="00E67D5A"/>
    <w:rsid w:val="00E735D6"/>
    <w:rsid w:val="00E76A60"/>
    <w:rsid w:val="00E82F9D"/>
    <w:rsid w:val="00E83791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3700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29C"/>
    <w:rsid w:val="00F13A0D"/>
    <w:rsid w:val="00F14867"/>
    <w:rsid w:val="00F149FE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4807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D67D7-7A1F-4E8E-936A-23C55375AB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A281BF3-AFF5-4A69-B798-7D2CF6B3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8939</Words>
  <Characters>53638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62453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23</cp:revision>
  <cp:lastPrinted>2025-03-19T07:52:00Z</cp:lastPrinted>
  <dcterms:created xsi:type="dcterms:W3CDTF">2025-03-05T07:15:00Z</dcterms:created>
  <dcterms:modified xsi:type="dcterms:W3CDTF">2025-03-19T07:54:00Z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