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C373CD">
      <w:pPr>
        <w:shd w:val="clear" w:color="auto" w:fill="FFFFFF"/>
        <w:tabs>
          <w:tab w:val="left" w:pos="4820"/>
        </w:tabs>
        <w:spacing w:after="0"/>
        <w:ind w:left="4963"/>
        <w:jc w:val="center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B9687A" w:rsidRPr="008860A7" w:rsidRDefault="00A21DCB" w:rsidP="008860A7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E529A0" w:rsidRPr="00E529A0" w:rsidRDefault="00E529A0" w:rsidP="00E529A0">
      <w:pPr>
        <w:spacing w:after="0"/>
        <w:jc w:val="center"/>
        <w:rPr>
          <w:rFonts w:ascii="Book Antiqua" w:hAnsi="Book Antiqua" w:cs="Arial"/>
          <w:b/>
          <w:i/>
          <w:sz w:val="32"/>
          <w:szCs w:val="28"/>
        </w:rPr>
      </w:pPr>
      <w:r w:rsidRPr="00E529A0">
        <w:rPr>
          <w:rFonts w:ascii="Book Antiqua" w:hAnsi="Book Antiqua"/>
          <w:b/>
          <w:i/>
          <w:sz w:val="32"/>
          <w:szCs w:val="28"/>
        </w:rPr>
        <w:t>„</w:t>
      </w:r>
      <w:r w:rsidRPr="00E529A0">
        <w:rPr>
          <w:rFonts w:ascii="Book Antiqua" w:hAnsi="Book Antiqua" w:cs="Arial"/>
          <w:b/>
          <w:bCs/>
          <w:i/>
          <w:sz w:val="32"/>
          <w:szCs w:val="28"/>
        </w:rPr>
        <w:t>Zakup aparatury medycznej (</w:t>
      </w:r>
      <w:r w:rsidR="00C373CD" w:rsidRPr="00C373CD">
        <w:rPr>
          <w:rFonts w:ascii="Book Antiqua" w:hAnsi="Book Antiqua"/>
          <w:b/>
          <w:i/>
          <w:color w:val="000000"/>
          <w:sz w:val="32"/>
          <w:szCs w:val="32"/>
        </w:rPr>
        <w:t xml:space="preserve">unity stomatologiczne, monitor hemodynamiczny, </w:t>
      </w:r>
      <w:proofErr w:type="spellStart"/>
      <w:r w:rsidR="00C373CD" w:rsidRPr="00C373CD">
        <w:rPr>
          <w:rFonts w:ascii="Book Antiqua" w:hAnsi="Book Antiqua"/>
          <w:b/>
          <w:i/>
          <w:color w:val="000000"/>
          <w:sz w:val="32"/>
          <w:szCs w:val="32"/>
        </w:rPr>
        <w:t>autorefraktokeratometr</w:t>
      </w:r>
      <w:proofErr w:type="spellEnd"/>
      <w:r w:rsidR="00C373CD" w:rsidRPr="00C373CD">
        <w:rPr>
          <w:rFonts w:ascii="Book Antiqua" w:hAnsi="Book Antiqua"/>
          <w:b/>
          <w:i/>
          <w:color w:val="000000"/>
          <w:sz w:val="32"/>
          <w:szCs w:val="32"/>
        </w:rPr>
        <w:t xml:space="preserve">, centrale do kardiomonitorów, wirówka do masażu kończyn dolnych, </w:t>
      </w:r>
      <w:proofErr w:type="spellStart"/>
      <w:r w:rsidR="00C373CD" w:rsidRPr="00C373CD">
        <w:rPr>
          <w:rFonts w:ascii="Book Antiqua" w:hAnsi="Book Antiqua"/>
          <w:b/>
          <w:i/>
          <w:color w:val="000000"/>
          <w:sz w:val="32"/>
          <w:szCs w:val="32"/>
        </w:rPr>
        <w:t>pulsoksymetry</w:t>
      </w:r>
      <w:proofErr w:type="spellEnd"/>
      <w:r w:rsidR="00C373CD" w:rsidRPr="00C373CD">
        <w:rPr>
          <w:rFonts w:ascii="Book Antiqua" w:hAnsi="Book Antiqua"/>
          <w:b/>
          <w:i/>
          <w:color w:val="000000"/>
          <w:sz w:val="32"/>
          <w:szCs w:val="32"/>
        </w:rPr>
        <w:t xml:space="preserve">, </w:t>
      </w:r>
      <w:proofErr w:type="spellStart"/>
      <w:r w:rsidR="00C373CD" w:rsidRPr="00C373CD">
        <w:rPr>
          <w:rFonts w:ascii="Book Antiqua" w:hAnsi="Book Antiqua"/>
          <w:b/>
          <w:i/>
          <w:color w:val="000000"/>
          <w:sz w:val="32"/>
          <w:szCs w:val="32"/>
        </w:rPr>
        <w:t>gateway</w:t>
      </w:r>
      <w:proofErr w:type="spellEnd"/>
      <w:r w:rsidRPr="00E529A0">
        <w:rPr>
          <w:rFonts w:ascii="Book Antiqua" w:hAnsi="Book Antiqua" w:cs="Arial"/>
          <w:b/>
          <w:bCs/>
          <w:i/>
          <w:sz w:val="32"/>
          <w:szCs w:val="28"/>
        </w:rPr>
        <w:t>).”</w:t>
      </w:r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C373CD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2</w:t>
      </w:r>
      <w:r w:rsidR="002F109C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3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</w:t>
      </w:r>
      <w:r w:rsidR="002F109C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N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.202</w:t>
      </w:r>
      <w:r w:rsidR="00134F7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5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E529A0" w:rsidRDefault="00597B3F" w:rsidP="00E529A0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6A2424" w:rsidRPr="00803A8C">
        <w:rPr>
          <w:rFonts w:ascii="Book Antiqua" w:hAnsi="Book Antiqua" w:cs="Tahoma"/>
          <w:b/>
          <w:sz w:val="20"/>
          <w:szCs w:val="20"/>
        </w:rPr>
        <w:t>cenowym – załącznik 1</w:t>
      </w:r>
      <w:r w:rsidR="00E529A0" w:rsidRPr="00E529A0">
        <w:rPr>
          <w:rFonts w:ascii="Book Antiqua" w:hAnsi="Book Antiqua" w:cs="Tahoma"/>
          <w:b/>
          <w:sz w:val="20"/>
          <w:szCs w:val="20"/>
        </w:rPr>
        <w:t>a</w:t>
      </w:r>
      <w:r w:rsidR="00E514E6" w:rsidRPr="00E529A0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6A2424" w:rsidRDefault="006A2424" w:rsidP="006A2424">
      <w:p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03A8C">
        <w:rPr>
          <w:rFonts w:ascii="Book Antiqua" w:hAnsi="Book Antiqua" w:cs="Tahoma"/>
          <w:b/>
          <w:sz w:val="20"/>
          <w:szCs w:val="20"/>
          <w:u w:val="single"/>
        </w:rPr>
        <w:t xml:space="preserve">2. </w:t>
      </w:r>
      <w:r w:rsidR="00E529A0">
        <w:rPr>
          <w:rFonts w:ascii="Book Antiqua" w:hAnsi="Book Antiqua" w:cs="Tahoma"/>
          <w:b/>
          <w:sz w:val="20"/>
          <w:szCs w:val="20"/>
          <w:u w:val="single"/>
        </w:rPr>
        <w:t xml:space="preserve">Okres gwarancji </w:t>
      </w:r>
      <w:r w:rsidRPr="00803A8C">
        <w:rPr>
          <w:rFonts w:ascii="Book Antiqua" w:hAnsi="Book Antiqua"/>
          <w:b/>
          <w:sz w:val="20"/>
          <w:szCs w:val="20"/>
          <w:u w:val="single"/>
        </w:rPr>
        <w:t>(</w:t>
      </w:r>
      <w:r w:rsidRPr="00803A8C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8960AE" w:rsidRDefault="008960AE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</w:p>
    <w:p w:rsidR="008960AE" w:rsidRPr="008960AE" w:rsidRDefault="00CC56A6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Dla </w:t>
      </w:r>
      <w:r w:rsidRPr="00CC56A6">
        <w:rPr>
          <w:rFonts w:ascii="Book Antiqua" w:hAnsi="Book Antiqua"/>
          <w:b/>
          <w:sz w:val="20"/>
          <w:szCs w:val="20"/>
        </w:rPr>
        <w:t xml:space="preserve">części </w:t>
      </w:r>
      <w:r w:rsidR="008960AE">
        <w:rPr>
          <w:rFonts w:ascii="Book Antiqua" w:hAnsi="Book Antiqua"/>
          <w:b/>
          <w:sz w:val="20"/>
          <w:szCs w:val="20"/>
        </w:rPr>
        <w:t xml:space="preserve">nr …. </w:t>
      </w:r>
      <w:r>
        <w:rPr>
          <w:rFonts w:ascii="Book Antiqua" w:hAnsi="Book Antiqua"/>
          <w:sz w:val="20"/>
          <w:szCs w:val="20"/>
        </w:rPr>
        <w:t xml:space="preserve"> oferujemy </w:t>
      </w:r>
      <w:r w:rsidR="00E529A0">
        <w:rPr>
          <w:rFonts w:ascii="Book Antiqua" w:hAnsi="Book Antiqua"/>
          <w:sz w:val="20"/>
          <w:szCs w:val="20"/>
        </w:rPr>
        <w:t>okres gwarancji</w:t>
      </w:r>
      <w:r>
        <w:rPr>
          <w:rFonts w:ascii="Book Antiqua" w:hAnsi="Book Antiqua"/>
          <w:sz w:val="20"/>
          <w:szCs w:val="20"/>
        </w:rPr>
        <w:t xml:space="preserve">:………………………… 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lastRenderedPageBreak/>
        <w:t>(należy wpis</w:t>
      </w:r>
      <w:bookmarkStart w:id="0" w:name="_GoBack"/>
      <w:bookmarkEnd w:id="0"/>
      <w:r>
        <w:rPr>
          <w:rFonts w:ascii="Book Antiqua" w:hAnsi="Book Antiqua"/>
          <w:i/>
          <w:sz w:val="20"/>
          <w:szCs w:val="20"/>
        </w:rPr>
        <w:t xml:space="preserve">ać oferowany </w:t>
      </w:r>
      <w:r w:rsidR="00E529A0">
        <w:rPr>
          <w:rFonts w:ascii="Book Antiqua" w:hAnsi="Book Antiqua"/>
          <w:i/>
          <w:sz w:val="20"/>
          <w:szCs w:val="20"/>
        </w:rPr>
        <w:t>okres gwarancji</w:t>
      </w:r>
      <w:r>
        <w:rPr>
          <w:rFonts w:ascii="Book Antiqua" w:hAnsi="Book Antiqua"/>
          <w:i/>
          <w:sz w:val="20"/>
          <w:szCs w:val="20"/>
        </w:rPr>
        <w:t xml:space="preserve">, </w:t>
      </w:r>
      <w:r w:rsidR="00E529A0">
        <w:rPr>
          <w:rFonts w:ascii="Book Antiqua" w:hAnsi="Book Antiqua"/>
          <w:i/>
          <w:sz w:val="20"/>
          <w:szCs w:val="20"/>
        </w:rPr>
        <w:t xml:space="preserve">przy czym graniczne okresy gwarancji wynoszą </w:t>
      </w:r>
      <w:r w:rsidR="00E529A0" w:rsidRPr="00E529A0">
        <w:rPr>
          <w:rFonts w:ascii="Book Antiqua" w:hAnsi="Book Antiqua"/>
          <w:b/>
          <w:i/>
          <w:sz w:val="20"/>
          <w:szCs w:val="20"/>
        </w:rPr>
        <w:t>min. 24 m-ce, max 36 m-</w:t>
      </w:r>
      <w:proofErr w:type="spellStart"/>
      <w:r w:rsidR="00E529A0" w:rsidRPr="00E529A0">
        <w:rPr>
          <w:rFonts w:ascii="Book Antiqua" w:hAnsi="Book Antiqua"/>
          <w:b/>
          <w:i/>
          <w:sz w:val="20"/>
          <w:szCs w:val="20"/>
        </w:rPr>
        <w:t>cy</w:t>
      </w:r>
      <w:proofErr w:type="spellEnd"/>
      <w:r>
        <w:rPr>
          <w:rFonts w:ascii="Book Antiqua" w:hAnsi="Book Antiqua"/>
          <w:i/>
          <w:sz w:val="20"/>
          <w:szCs w:val="20"/>
        </w:rPr>
        <w:t>)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</w:p>
    <w:p w:rsidR="00B61021" w:rsidRPr="008960AE" w:rsidRDefault="006A2424" w:rsidP="006A2424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960AE">
        <w:rPr>
          <w:rFonts w:ascii="Book Antiqua" w:hAnsi="Book Antiqua"/>
          <w:b/>
          <w:i/>
          <w:sz w:val="20"/>
          <w:szCs w:val="20"/>
          <w:u w:val="single"/>
        </w:rPr>
        <w:t>Powyższe można rozbudować w zależności od potrzeb.</w:t>
      </w:r>
    </w:p>
    <w:p w:rsidR="00B61021" w:rsidRPr="00B61021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sz w:val="20"/>
          <w:szCs w:val="20"/>
          <w:u w:val="single"/>
        </w:rPr>
      </w:pPr>
      <w:r w:rsidRPr="00B61021">
        <w:rPr>
          <w:rFonts w:ascii="Book Antiqua" w:hAnsi="Book Antiqua" w:cs="Tahoma"/>
          <w:sz w:val="20"/>
          <w:szCs w:val="20"/>
          <w:u w:val="single"/>
        </w:rPr>
        <w:t>Szczegóły kryteriów oceny ofert opisano w  § X</w:t>
      </w:r>
      <w:r>
        <w:rPr>
          <w:rFonts w:ascii="Book Antiqua" w:hAnsi="Book Antiqua" w:cs="Tahoma"/>
          <w:sz w:val="20"/>
          <w:szCs w:val="20"/>
          <w:u w:val="single"/>
        </w:rPr>
        <w:t xml:space="preserve">IX </w:t>
      </w:r>
      <w:r w:rsidRPr="00B61021">
        <w:rPr>
          <w:rFonts w:ascii="Book Antiqua" w:hAnsi="Book Antiqua" w:cs="Tahoma"/>
          <w:sz w:val="20"/>
          <w:szCs w:val="20"/>
          <w:u w:val="single"/>
        </w:rPr>
        <w:t>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nie będzie prowadził do powstania u Zamawiającego obowiązku podatkowego </w:t>
      </w:r>
      <w:r w:rsidR="00CC56A6" w:rsidRPr="00A21DCB">
        <w:rPr>
          <w:rFonts w:ascii="Book Antiqua" w:hAnsi="Book Antiqua" w:cs="Tahoma"/>
          <w:sz w:val="20"/>
          <w:szCs w:val="20"/>
        </w:rPr>
        <w:t>zgodnie z</w:t>
      </w:r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7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CB"/>
    <w:rsid w:val="0008229F"/>
    <w:rsid w:val="00090383"/>
    <w:rsid w:val="00113E0C"/>
    <w:rsid w:val="00116719"/>
    <w:rsid w:val="00134F71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109C"/>
    <w:rsid w:val="002F64CE"/>
    <w:rsid w:val="00315FAD"/>
    <w:rsid w:val="003546E9"/>
    <w:rsid w:val="003E0B8B"/>
    <w:rsid w:val="003E100D"/>
    <w:rsid w:val="00420BF4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D162F"/>
    <w:rsid w:val="006E3911"/>
    <w:rsid w:val="006F7557"/>
    <w:rsid w:val="00707261"/>
    <w:rsid w:val="00722D08"/>
    <w:rsid w:val="007D35EE"/>
    <w:rsid w:val="00803A8C"/>
    <w:rsid w:val="008860A7"/>
    <w:rsid w:val="008960AE"/>
    <w:rsid w:val="008F79F4"/>
    <w:rsid w:val="00981625"/>
    <w:rsid w:val="0098374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373CD"/>
    <w:rsid w:val="00C45029"/>
    <w:rsid w:val="00C83609"/>
    <w:rsid w:val="00CA4688"/>
    <w:rsid w:val="00CA7489"/>
    <w:rsid w:val="00CC34F9"/>
    <w:rsid w:val="00CC56A6"/>
    <w:rsid w:val="00CF742B"/>
    <w:rsid w:val="00D71075"/>
    <w:rsid w:val="00DF45B5"/>
    <w:rsid w:val="00E44A32"/>
    <w:rsid w:val="00E514E6"/>
    <w:rsid w:val="00E529A0"/>
    <w:rsid w:val="00EB7B30"/>
    <w:rsid w:val="00EE00DC"/>
    <w:rsid w:val="00EE5250"/>
    <w:rsid w:val="00EE67D6"/>
    <w:rsid w:val="00EF37BC"/>
    <w:rsid w:val="00F26618"/>
    <w:rsid w:val="00F33FB7"/>
    <w:rsid w:val="00F724B4"/>
    <w:rsid w:val="00F73B19"/>
    <w:rsid w:val="00FB2ADA"/>
    <w:rsid w:val="00FB2E54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8F8A4F9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EC49-F641-491B-9E64-0A834C26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CPL</cp:lastModifiedBy>
  <cp:revision>12</cp:revision>
  <cp:lastPrinted>2023-09-27T10:12:00Z</cp:lastPrinted>
  <dcterms:created xsi:type="dcterms:W3CDTF">2024-03-27T10:45:00Z</dcterms:created>
  <dcterms:modified xsi:type="dcterms:W3CDTF">2025-04-09T05:37:00Z</dcterms:modified>
</cp:coreProperties>
</file>