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B62A" w14:textId="77777777" w:rsidR="00F74F7F" w:rsidRPr="00F74F7F" w:rsidRDefault="00F74F7F" w:rsidP="00F74F7F">
      <w:pPr>
        <w:spacing w:after="0" w:line="319" w:lineRule="auto"/>
        <w:jc w:val="right"/>
        <w:rPr>
          <w:rFonts w:cstheme="minorHAnsi"/>
        </w:rPr>
      </w:pPr>
      <w:r w:rsidRPr="00F74F7F">
        <w:rPr>
          <w:rFonts w:cstheme="minorHAnsi"/>
        </w:rPr>
        <w:t>Dopiewo, dnia 31.03.2025 r.</w:t>
      </w:r>
    </w:p>
    <w:p w14:paraId="6BDB6C9B" w14:textId="77777777" w:rsidR="00F74F7F" w:rsidRPr="00F74F7F" w:rsidRDefault="00F74F7F" w:rsidP="00F74F7F">
      <w:pPr>
        <w:spacing w:after="0" w:line="319" w:lineRule="auto"/>
        <w:jc w:val="both"/>
        <w:rPr>
          <w:rFonts w:cstheme="minorHAnsi"/>
          <w:b/>
          <w:bCs/>
        </w:rPr>
      </w:pPr>
      <w:r w:rsidRPr="00F74F7F">
        <w:rPr>
          <w:rFonts w:cstheme="minorHAnsi"/>
          <w:b/>
          <w:bCs/>
        </w:rPr>
        <w:t>ROA.271.4.2025</w:t>
      </w:r>
    </w:p>
    <w:p w14:paraId="5BE2602E" w14:textId="77777777" w:rsidR="00F74F7F" w:rsidRPr="00F74F7F" w:rsidRDefault="00F74F7F" w:rsidP="00F74F7F">
      <w:pPr>
        <w:spacing w:after="0" w:line="319" w:lineRule="auto"/>
        <w:jc w:val="both"/>
        <w:rPr>
          <w:rFonts w:cstheme="minorHAnsi"/>
          <w:b/>
          <w:bCs/>
        </w:rPr>
      </w:pPr>
    </w:p>
    <w:p w14:paraId="1690B7E1" w14:textId="77777777" w:rsidR="00F74F7F" w:rsidRPr="00F74F7F" w:rsidRDefault="00F74F7F" w:rsidP="00F74F7F">
      <w:pPr>
        <w:spacing w:after="0" w:line="319" w:lineRule="auto"/>
        <w:jc w:val="right"/>
        <w:rPr>
          <w:rFonts w:cstheme="minorHAnsi"/>
          <w:b/>
          <w:bCs/>
        </w:rPr>
      </w:pPr>
      <w:r w:rsidRPr="00F74F7F">
        <w:rPr>
          <w:rFonts w:cstheme="minorHAnsi"/>
          <w:b/>
          <w:bCs/>
        </w:rPr>
        <w:t>Do wszystkich uczestników postępowania</w:t>
      </w:r>
    </w:p>
    <w:p w14:paraId="48EAED2F" w14:textId="77777777" w:rsidR="00F74F7F" w:rsidRPr="00F74F7F" w:rsidRDefault="00F74F7F" w:rsidP="00F74F7F">
      <w:pPr>
        <w:spacing w:after="0" w:line="319" w:lineRule="auto"/>
        <w:jc w:val="both"/>
        <w:rPr>
          <w:rFonts w:cstheme="minorHAnsi"/>
          <w:b/>
          <w:bCs/>
        </w:rPr>
      </w:pPr>
    </w:p>
    <w:p w14:paraId="7799F19F" w14:textId="77777777" w:rsidR="00F74F7F" w:rsidRPr="00F74F7F" w:rsidRDefault="00F74F7F" w:rsidP="00F74F7F">
      <w:pPr>
        <w:widowControl w:val="0"/>
        <w:autoSpaceDE w:val="0"/>
        <w:autoSpaceDN w:val="0"/>
        <w:spacing w:after="0" w:line="319" w:lineRule="auto"/>
        <w:jc w:val="both"/>
        <w:rPr>
          <w:rFonts w:cstheme="minorHAnsi"/>
          <w:b/>
          <w:bCs/>
          <w:kern w:val="3"/>
          <w14:ligatures w14:val="none"/>
        </w:rPr>
      </w:pPr>
      <w:r w:rsidRPr="00F74F7F">
        <w:rPr>
          <w:rFonts w:cstheme="minorHAnsi"/>
        </w:rPr>
        <w:t xml:space="preserve">Dotyczy: postępowania o udzielenie zamówienia publicznego pn. </w:t>
      </w:r>
      <w:r w:rsidRPr="00F74F7F">
        <w:rPr>
          <w:rFonts w:cstheme="minorHAnsi"/>
          <w:b/>
          <w:bCs/>
          <w:kern w:val="3"/>
          <w14:ligatures w14:val="none"/>
        </w:rPr>
        <w:t>Budowa oświetlenia drogowego                       na terenie Gminy Dopiewo.</w:t>
      </w:r>
    </w:p>
    <w:p w14:paraId="67D760E3" w14:textId="77777777" w:rsidR="00F74F7F" w:rsidRPr="00F74F7F" w:rsidRDefault="00F74F7F" w:rsidP="00F74F7F">
      <w:pPr>
        <w:widowControl w:val="0"/>
        <w:autoSpaceDE w:val="0"/>
        <w:autoSpaceDN w:val="0"/>
        <w:spacing w:after="0" w:line="319" w:lineRule="auto"/>
        <w:jc w:val="center"/>
        <w:rPr>
          <w:rFonts w:eastAsia="Times New Roman" w:cstheme="minorHAnsi"/>
          <w:b/>
          <w:kern w:val="0"/>
          <w14:ligatures w14:val="none"/>
        </w:rPr>
      </w:pPr>
    </w:p>
    <w:p w14:paraId="4CACD5AE" w14:textId="77777777" w:rsidR="00F74F7F" w:rsidRPr="00F74F7F" w:rsidRDefault="00F74F7F" w:rsidP="00F74F7F">
      <w:pPr>
        <w:spacing w:after="0" w:line="319" w:lineRule="auto"/>
        <w:jc w:val="both"/>
        <w:rPr>
          <w:rFonts w:eastAsia="Times New Roman" w:cstheme="minorHAnsi"/>
          <w:b/>
        </w:rPr>
      </w:pPr>
    </w:p>
    <w:p w14:paraId="1D8E5FA9" w14:textId="77777777" w:rsidR="00F74F7F" w:rsidRPr="00F74F7F" w:rsidRDefault="00F74F7F" w:rsidP="00F74F7F">
      <w:pPr>
        <w:spacing w:after="0" w:line="319" w:lineRule="auto"/>
        <w:jc w:val="both"/>
        <w:rPr>
          <w:rFonts w:eastAsia="Times New Roman" w:cstheme="minorHAnsi"/>
          <w:bCs/>
        </w:rPr>
      </w:pPr>
      <w:r w:rsidRPr="00F74F7F">
        <w:rPr>
          <w:rFonts w:eastAsia="Times New Roman" w:cstheme="minorHAnsi"/>
          <w:b/>
        </w:rPr>
        <w:t>1.</w:t>
      </w:r>
      <w:r w:rsidRPr="00F74F7F">
        <w:rPr>
          <w:rFonts w:eastAsia="Times New Roman" w:cstheme="minorHAnsi"/>
          <w:bCs/>
        </w:rPr>
        <w:t xml:space="preserve"> Zamawiający informuje, że do niniejszego postępowania wpłynął wniosek o wyjaśnienie treści SWZ. Działając na podstawie art. 284 ust. 2 PZP, przekazujemy poniższe wyjaśnienia:</w:t>
      </w:r>
    </w:p>
    <w:p w14:paraId="79F89C00" w14:textId="77777777" w:rsidR="00F74F7F" w:rsidRPr="00F74F7F" w:rsidRDefault="00F74F7F" w:rsidP="00F74F7F">
      <w:pPr>
        <w:widowControl w:val="0"/>
        <w:autoSpaceDE w:val="0"/>
        <w:autoSpaceDN w:val="0"/>
        <w:spacing w:after="0" w:line="319" w:lineRule="auto"/>
        <w:rPr>
          <w:rFonts w:eastAsia="Times New Roman" w:cstheme="minorHAnsi"/>
          <w:b/>
        </w:rPr>
      </w:pPr>
    </w:p>
    <w:p w14:paraId="5185A263" w14:textId="77777777" w:rsidR="00F74F7F" w:rsidRPr="00F74F7F" w:rsidRDefault="00F74F7F" w:rsidP="00F74F7F">
      <w:pPr>
        <w:widowControl w:val="0"/>
        <w:autoSpaceDE w:val="0"/>
        <w:autoSpaceDN w:val="0"/>
        <w:spacing w:after="0" w:line="319" w:lineRule="auto"/>
        <w:jc w:val="both"/>
        <w:rPr>
          <w:rFonts w:ascii="Calibri" w:eastAsia="Calibri" w:hAnsi="Calibri" w:cs="Calibri"/>
          <w:b/>
          <w:bCs/>
          <w:kern w:val="0"/>
          <w14:ligatures w14:val="none"/>
        </w:rPr>
      </w:pPr>
      <w:r w:rsidRPr="00F74F7F">
        <w:rPr>
          <w:rFonts w:ascii="Calibri" w:eastAsia="Calibri" w:hAnsi="Calibri" w:cs="Calibri"/>
          <w:b/>
          <w:bCs/>
          <w:kern w:val="0"/>
          <w14:ligatures w14:val="none"/>
        </w:rPr>
        <w:t>Pytanie nr 1.</w:t>
      </w:r>
    </w:p>
    <w:p w14:paraId="0EB38982"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 xml:space="preserve">Prosimy o informację, czy wszystkie oprawy w przedmiotowym postępowaniu mają być wyposażone                            w gniazdo </w:t>
      </w:r>
      <w:proofErr w:type="spellStart"/>
      <w:r w:rsidRPr="00F74F7F">
        <w:rPr>
          <w:rFonts w:ascii="Calibri" w:eastAsia="Calibri" w:hAnsi="Calibri" w:cs="Calibri"/>
          <w:kern w:val="0"/>
          <w14:ligatures w14:val="none"/>
        </w:rPr>
        <w:t>Zhaga</w:t>
      </w:r>
      <w:proofErr w:type="spellEnd"/>
      <w:r w:rsidRPr="00F74F7F">
        <w:rPr>
          <w:rFonts w:ascii="Calibri" w:eastAsia="Calibri" w:hAnsi="Calibri" w:cs="Calibri"/>
          <w:kern w:val="0"/>
          <w14:ligatures w14:val="none"/>
        </w:rPr>
        <w:t xml:space="preserve"> </w:t>
      </w:r>
      <w:proofErr w:type="spellStart"/>
      <w:r w:rsidRPr="00F74F7F">
        <w:rPr>
          <w:rFonts w:ascii="Calibri" w:eastAsia="Calibri" w:hAnsi="Calibri" w:cs="Calibri"/>
          <w:kern w:val="0"/>
          <w14:ligatures w14:val="none"/>
        </w:rPr>
        <w:t>Book</w:t>
      </w:r>
      <w:proofErr w:type="spellEnd"/>
      <w:r w:rsidRPr="00F74F7F">
        <w:rPr>
          <w:rFonts w:ascii="Calibri" w:eastAsia="Calibri" w:hAnsi="Calibri" w:cs="Calibri"/>
          <w:kern w:val="0"/>
          <w14:ligatures w14:val="none"/>
        </w:rPr>
        <w:t xml:space="preserve"> 18 i posiadać certyfikat ZD4i?</w:t>
      </w:r>
    </w:p>
    <w:p w14:paraId="18AEF607"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0B212E0F"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bookmarkStart w:id="0" w:name="_Hlk193970799"/>
      <w:r w:rsidRPr="00F74F7F">
        <w:rPr>
          <w:rFonts w:ascii="Calibri" w:eastAsia="Calibri" w:hAnsi="Calibri" w:cs="Calibri"/>
          <w:b/>
          <w:bCs/>
          <w:kern w:val="0"/>
          <w14:ligatures w14:val="none"/>
        </w:rPr>
        <w:t>Odpowiedź:</w:t>
      </w:r>
      <w:bookmarkEnd w:id="0"/>
      <w:r w:rsidRPr="00F74F7F">
        <w:rPr>
          <w:rFonts w:ascii="Calibri" w:eastAsia="Calibri" w:hAnsi="Calibri" w:cs="Calibri"/>
          <w:kern w:val="0"/>
          <w14:ligatures w14:val="none"/>
        </w:rPr>
        <w:t xml:space="preserve"> Tak, wszystkie oprawy mają być wyposażone w gniazda </w:t>
      </w:r>
      <w:proofErr w:type="spellStart"/>
      <w:r w:rsidRPr="00F74F7F">
        <w:rPr>
          <w:rFonts w:ascii="Calibri" w:eastAsia="Calibri" w:hAnsi="Calibri" w:cs="Calibri"/>
          <w:kern w:val="0"/>
          <w14:ligatures w14:val="none"/>
        </w:rPr>
        <w:t>Zhaga</w:t>
      </w:r>
      <w:proofErr w:type="spellEnd"/>
      <w:r w:rsidRPr="00F74F7F">
        <w:rPr>
          <w:rFonts w:ascii="Calibri" w:eastAsia="Calibri" w:hAnsi="Calibri" w:cs="Calibri"/>
          <w:kern w:val="0"/>
          <w14:ligatures w14:val="none"/>
        </w:rPr>
        <w:t xml:space="preserve"> i posiadać certyfikat Zhaga-D4i. </w:t>
      </w:r>
      <w:r w:rsidRPr="00F74F7F">
        <w:rPr>
          <w:rFonts w:ascii="Calibri" w:eastAsia="Calibri" w:hAnsi="Calibri" w:cs="Calibri"/>
          <w:kern w:val="0"/>
          <w14:ligatures w14:val="none"/>
        </w:rPr>
        <w:br/>
      </w:r>
    </w:p>
    <w:p w14:paraId="12F09BD1" w14:textId="77777777" w:rsidR="00F74F7F" w:rsidRPr="00F74F7F" w:rsidRDefault="00F74F7F" w:rsidP="00F74F7F">
      <w:pPr>
        <w:widowControl w:val="0"/>
        <w:autoSpaceDE w:val="0"/>
        <w:autoSpaceDN w:val="0"/>
        <w:spacing w:after="0" w:line="319" w:lineRule="auto"/>
        <w:jc w:val="both"/>
        <w:rPr>
          <w:rFonts w:ascii="Calibri" w:eastAsia="Calibri" w:hAnsi="Calibri" w:cs="Calibri"/>
          <w:b/>
          <w:bCs/>
          <w:kern w:val="0"/>
          <w14:ligatures w14:val="none"/>
        </w:rPr>
      </w:pPr>
      <w:r w:rsidRPr="00F74F7F">
        <w:rPr>
          <w:rFonts w:ascii="Calibri" w:eastAsia="Calibri" w:hAnsi="Calibri" w:cs="Calibri"/>
          <w:b/>
          <w:bCs/>
          <w:kern w:val="0"/>
          <w14:ligatures w14:val="none"/>
        </w:rPr>
        <w:t>Pytanie nr 2.</w:t>
      </w:r>
    </w:p>
    <w:p w14:paraId="33965467"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Czy oprawy w przedmiotowym postępowaniu mają być wyposażone w system sterowania oświetleniem. Jeśli tak to jaki/o jakich parametrach.</w:t>
      </w:r>
    </w:p>
    <w:p w14:paraId="2930C517"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p>
    <w:p w14:paraId="4F05DCBF"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b/>
          <w:bCs/>
          <w:kern w:val="0"/>
          <w14:ligatures w14:val="none"/>
        </w:rPr>
        <w:t xml:space="preserve">Odpowiedź: </w:t>
      </w:r>
      <w:r w:rsidRPr="00F74F7F">
        <w:rPr>
          <w:rFonts w:ascii="Calibri" w:eastAsia="Calibri" w:hAnsi="Calibri" w:cs="Calibri"/>
          <w:kern w:val="0"/>
          <w14:ligatures w14:val="none"/>
        </w:rPr>
        <w:t xml:space="preserve">Ze względu na to, że system komunikacji nie został jeszcze zainstalowany, oprawy mają być wyposażone w gniazda </w:t>
      </w:r>
      <w:proofErr w:type="spellStart"/>
      <w:r w:rsidRPr="00F74F7F">
        <w:rPr>
          <w:rFonts w:ascii="Calibri" w:eastAsia="Calibri" w:hAnsi="Calibri" w:cs="Calibri"/>
          <w:kern w:val="0"/>
          <w14:ligatures w14:val="none"/>
        </w:rPr>
        <w:t>Zhaga</w:t>
      </w:r>
      <w:proofErr w:type="spellEnd"/>
      <w:r w:rsidRPr="00F74F7F">
        <w:rPr>
          <w:rFonts w:ascii="Calibri" w:eastAsia="Calibri" w:hAnsi="Calibri" w:cs="Calibri"/>
          <w:kern w:val="0"/>
          <w14:ligatures w14:val="none"/>
        </w:rPr>
        <w:t xml:space="preserve"> i posiadać certyfikat Zhaga-D4i.</w:t>
      </w:r>
    </w:p>
    <w:p w14:paraId="2EF2599D"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2264A7CA" w14:textId="77777777" w:rsidR="00F74F7F" w:rsidRPr="00F74F7F" w:rsidRDefault="00F74F7F" w:rsidP="00F74F7F">
      <w:pPr>
        <w:widowControl w:val="0"/>
        <w:autoSpaceDE w:val="0"/>
        <w:autoSpaceDN w:val="0"/>
        <w:spacing w:after="0" w:line="319" w:lineRule="auto"/>
        <w:jc w:val="both"/>
        <w:rPr>
          <w:rFonts w:ascii="Calibri" w:eastAsia="Calibri" w:hAnsi="Calibri" w:cs="Calibri"/>
          <w:b/>
          <w:bCs/>
          <w:kern w:val="0"/>
          <w14:ligatures w14:val="none"/>
        </w:rPr>
      </w:pPr>
      <w:r w:rsidRPr="00F74F7F">
        <w:rPr>
          <w:rFonts w:ascii="Calibri" w:eastAsia="Calibri" w:hAnsi="Calibri" w:cs="Calibri"/>
          <w:b/>
          <w:bCs/>
          <w:kern w:val="0"/>
          <w14:ligatures w14:val="none"/>
        </w:rPr>
        <w:t>Pytanie nr 3.</w:t>
      </w:r>
    </w:p>
    <w:p w14:paraId="0A85BC5D"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Dla projektu ścieżki rowerowej Skórzewo-Dąbrówka w opisie opraw pojawia się sformułowanie "Optyka – matryca soczewkowa, asymetryczna przystosowana do przejść dla pieszych" oraz jest wskazana temp. barwowa 5700K. Z dołączonej dokumentacji technicznej nie wynika aby na projektowanym odcinku występowało przejście z doświetleniem i mamy oświetlenie tylko dla prostego odcinka ścieżki na którym zastosowanie optyki asymetrycznej przystosowanej dla przejść oraz ciemnej barwy światła stosowanej głównie na przejściach dla pieszych byłoby błędne. Proponujemy zmianę tego zapisu na: "Optyka – matryca soczewkowa, przystosowana do oświetlenia ścieżek rowerowych". Wymagana barwa światła - 4000K +/-10%.</w:t>
      </w:r>
    </w:p>
    <w:p w14:paraId="4797F64E" w14:textId="77777777" w:rsidR="00F74F7F" w:rsidRPr="00F74F7F" w:rsidRDefault="00F74F7F" w:rsidP="00F74F7F">
      <w:pPr>
        <w:widowControl w:val="0"/>
        <w:autoSpaceDE w:val="0"/>
        <w:autoSpaceDN w:val="0"/>
        <w:spacing w:after="0" w:line="319" w:lineRule="auto"/>
        <w:jc w:val="both"/>
        <w:rPr>
          <w:rFonts w:ascii="Calibri" w:hAnsi="Calibri" w:cs="Calibri"/>
          <w:kern w:val="0"/>
          <w14:ligatures w14:val="none"/>
        </w:rPr>
      </w:pPr>
      <w:r w:rsidRPr="00F74F7F">
        <w:rPr>
          <w:rFonts w:ascii="Calibri" w:eastAsia="Calibri" w:hAnsi="Calibri" w:cs="Calibri"/>
          <w:kern w:val="0"/>
          <w14:ligatures w14:val="none"/>
        </w:rPr>
        <w:br/>
        <w:t>Dodatkowo warto by było wskazać klasę oświetlenia, dla której każdy z oferentów zobowiązany by był przedstawić obliczenia fotometryczne, albowiem wydaje się, że przy tak gęstym rozmieszczeniu słupów oprawa o mocy 33W wydaje się trochę przerostem formy nad treścią.</w:t>
      </w:r>
    </w:p>
    <w:p w14:paraId="2BD0E2DB"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079BC135"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b/>
          <w:bCs/>
          <w:kern w:val="0"/>
          <w14:ligatures w14:val="none"/>
        </w:rPr>
        <w:t xml:space="preserve">Odpowiedź: </w:t>
      </w:r>
      <w:r w:rsidRPr="00F74F7F">
        <w:rPr>
          <w:rFonts w:ascii="Calibri" w:eastAsia="Calibri" w:hAnsi="Calibri" w:cs="Calibri"/>
          <w:kern w:val="0"/>
          <w14:ligatures w14:val="none"/>
        </w:rPr>
        <w:t>Zamawiający udzieli odpowiedzi na niniejsze pytanie niezwłocznie po uzyskaniu stanowiska od projektanta.</w:t>
      </w:r>
    </w:p>
    <w:p w14:paraId="7D4FB2F7"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p>
    <w:p w14:paraId="7591AE14" w14:textId="77777777" w:rsidR="00F74F7F" w:rsidRPr="00F74F7F" w:rsidRDefault="00F74F7F" w:rsidP="00F74F7F">
      <w:pPr>
        <w:widowControl w:val="0"/>
        <w:autoSpaceDE w:val="0"/>
        <w:autoSpaceDN w:val="0"/>
        <w:spacing w:after="0" w:line="319" w:lineRule="auto"/>
        <w:rPr>
          <w:rFonts w:ascii="Calibri" w:eastAsia="Calibri" w:hAnsi="Calibri" w:cs="Calibri"/>
          <w:b/>
          <w:bCs/>
          <w:kern w:val="0"/>
          <w14:ligatures w14:val="none"/>
        </w:rPr>
      </w:pPr>
      <w:r w:rsidRPr="00F74F7F">
        <w:rPr>
          <w:rFonts w:ascii="Calibri" w:eastAsia="Calibri" w:hAnsi="Calibri" w:cs="Calibri"/>
          <w:b/>
          <w:bCs/>
          <w:kern w:val="0"/>
          <w14:ligatures w14:val="none"/>
        </w:rPr>
        <w:t>Pytanie nr 4.</w:t>
      </w:r>
    </w:p>
    <w:p w14:paraId="70D03B4F"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Zamawiający w wymaganiach materiałowych zamieszcza specyfikacje dwóch słupów, jednego                                      z wysięgnikiem, jednego bez. Wysokość montażu obu opraw  to 8m. Jednocześnie w dokumentacji technicznej zastosowane są słupy o innych wysokościach.</w:t>
      </w:r>
    </w:p>
    <w:p w14:paraId="7F804440"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 xml:space="preserve"> </w:t>
      </w:r>
      <w:r w:rsidRPr="00F74F7F">
        <w:rPr>
          <w:rFonts w:ascii="Calibri" w:eastAsia="Calibri" w:hAnsi="Calibri" w:cs="Calibri"/>
          <w:kern w:val="0"/>
          <w14:ligatures w14:val="none"/>
        </w:rPr>
        <w:br/>
        <w:t>Wykonawca prosi o określenie, który z opisanych przez Zamawiającego słupów ma zostać użyty do wykonania poszczególnych zadań.</w:t>
      </w:r>
    </w:p>
    <w:p w14:paraId="76C74382"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p>
    <w:p w14:paraId="5575C098"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216A767D"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b/>
          <w:bCs/>
          <w:kern w:val="0"/>
          <w14:ligatures w14:val="none"/>
        </w:rPr>
        <w:t xml:space="preserve">Odpowiedź: </w:t>
      </w:r>
      <w:r w:rsidRPr="00F74F7F">
        <w:rPr>
          <w:rFonts w:ascii="Calibri" w:eastAsia="Calibri" w:hAnsi="Calibri" w:cs="Calibri"/>
          <w:kern w:val="0"/>
          <w14:ligatures w14:val="none"/>
        </w:rPr>
        <w:t xml:space="preserve">Wysokości słupów dla poszczególnych zadań należy dobrać według dokumentacji technicznych, zgodnie z poniższym opisem: </w:t>
      </w:r>
    </w:p>
    <w:p w14:paraId="0C506923"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r w:rsidRPr="00F74F7F">
        <w:rPr>
          <w:rFonts w:ascii="Calibri" w:eastAsia="Calibri" w:hAnsi="Calibri" w:cs="Calibri"/>
          <w:kern w:val="0"/>
          <w14:ligatures w14:val="none"/>
        </w:rPr>
        <w:t xml:space="preserve">1. zadanie nr 1: słup 5m, </w:t>
      </w:r>
    </w:p>
    <w:p w14:paraId="03DE2163"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r w:rsidRPr="00F74F7F">
        <w:rPr>
          <w:rFonts w:ascii="Calibri" w:eastAsia="Calibri" w:hAnsi="Calibri" w:cs="Calibri"/>
          <w:kern w:val="0"/>
          <w14:ligatures w14:val="none"/>
        </w:rPr>
        <w:t>2. zadanie nr 2: słup 7m + wysięgnik 1m,</w:t>
      </w:r>
    </w:p>
    <w:p w14:paraId="7BB372E2"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r w:rsidRPr="00F74F7F">
        <w:rPr>
          <w:rFonts w:ascii="Calibri" w:eastAsia="Calibri" w:hAnsi="Calibri" w:cs="Calibri"/>
          <w:kern w:val="0"/>
          <w14:ligatures w14:val="none"/>
        </w:rPr>
        <w:t>3. zadanie nr 3: słup 7m + wysięgnik 1m,</w:t>
      </w:r>
    </w:p>
    <w:p w14:paraId="2E4B307A"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r w:rsidRPr="00F74F7F">
        <w:rPr>
          <w:rFonts w:ascii="Calibri" w:eastAsia="Calibri" w:hAnsi="Calibri" w:cs="Calibri"/>
          <w:kern w:val="0"/>
          <w14:ligatures w14:val="none"/>
        </w:rPr>
        <w:t>4. zadanie nr 4: słup 9m,</w:t>
      </w:r>
    </w:p>
    <w:p w14:paraId="158F9336" w14:textId="77777777" w:rsidR="00F74F7F" w:rsidRPr="00F74F7F" w:rsidRDefault="00F74F7F" w:rsidP="00F74F7F">
      <w:pPr>
        <w:widowControl w:val="0"/>
        <w:autoSpaceDE w:val="0"/>
        <w:autoSpaceDN w:val="0"/>
        <w:spacing w:after="0" w:line="319" w:lineRule="auto"/>
        <w:jc w:val="both"/>
        <w:rPr>
          <w:rFonts w:ascii="Calibri" w:eastAsia="Calibri" w:hAnsi="Calibri" w:cs="Calibri"/>
          <w:kern w:val="0"/>
          <w14:ligatures w14:val="none"/>
        </w:rPr>
      </w:pPr>
      <w:r w:rsidRPr="00F74F7F">
        <w:rPr>
          <w:rFonts w:ascii="Calibri" w:eastAsia="Calibri" w:hAnsi="Calibri" w:cs="Calibri"/>
          <w:kern w:val="0"/>
          <w14:ligatures w14:val="none"/>
        </w:rPr>
        <w:t>5. zadanie nr 5: Zamawiający udzieli odpowiedzi w niniejszym zakresie niezwłocznie po uzyskaniu stanowiska od projektanta.</w:t>
      </w:r>
    </w:p>
    <w:p w14:paraId="400F3EC2"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23E75E89" w14:textId="77777777" w:rsidR="00F74F7F" w:rsidRPr="00F74F7F" w:rsidRDefault="00F74F7F" w:rsidP="00F74F7F">
      <w:pPr>
        <w:widowControl w:val="0"/>
        <w:autoSpaceDE w:val="0"/>
        <w:autoSpaceDN w:val="0"/>
        <w:spacing w:after="0" w:line="319" w:lineRule="auto"/>
        <w:ind w:right="113"/>
        <w:jc w:val="both"/>
        <w:rPr>
          <w:rFonts w:ascii="Calibri" w:eastAsia="Calibri" w:hAnsi="Calibri" w:cs="Calibri"/>
          <w:kern w:val="0"/>
          <w14:ligatures w14:val="none"/>
        </w:rPr>
      </w:pPr>
    </w:p>
    <w:p w14:paraId="7E22813C" w14:textId="77777777" w:rsidR="00F74F7F" w:rsidRPr="00F74F7F" w:rsidRDefault="00F74F7F" w:rsidP="00F74F7F">
      <w:pPr>
        <w:spacing w:after="0" w:line="319" w:lineRule="auto"/>
        <w:jc w:val="both"/>
        <w:rPr>
          <w:rFonts w:cstheme="minorHAnsi"/>
        </w:rPr>
      </w:pPr>
      <w:r w:rsidRPr="00F74F7F">
        <w:rPr>
          <w:rFonts w:cstheme="minorHAnsi"/>
          <w:b/>
          <w:bCs/>
        </w:rPr>
        <w:t>2</w:t>
      </w:r>
      <w:r w:rsidRPr="00F74F7F">
        <w:rPr>
          <w:rFonts w:cstheme="minorHAnsi"/>
        </w:rPr>
        <w:t xml:space="preserve">. Powyższe odpowiedzi na pytania stanowią integralną cześć SWZ. Zamawiający na podstawie z art. </w:t>
      </w:r>
      <w:r w:rsidRPr="00F74F7F">
        <w:rPr>
          <w:rFonts w:eastAsia="Times New Roman" w:cstheme="minorHAnsi"/>
          <w:kern w:val="0"/>
          <w:lang w:eastAsia="pl-PL"/>
          <w14:ligatures w14:val="none"/>
        </w:rPr>
        <w:t xml:space="preserve">286 ust. 3 </w:t>
      </w:r>
      <w:proofErr w:type="spellStart"/>
      <w:r w:rsidRPr="00F74F7F">
        <w:rPr>
          <w:rFonts w:eastAsia="Times New Roman" w:cstheme="minorHAnsi"/>
          <w:kern w:val="0"/>
          <w:lang w:eastAsia="pl-PL"/>
          <w14:ligatures w14:val="none"/>
        </w:rPr>
        <w:t>Pzp</w:t>
      </w:r>
      <w:proofErr w:type="spellEnd"/>
      <w:r w:rsidRPr="00F74F7F">
        <w:rPr>
          <w:rFonts w:eastAsia="Times New Roman" w:cstheme="minorHAnsi"/>
          <w:kern w:val="0"/>
          <w:lang w:eastAsia="pl-PL"/>
          <w14:ligatures w14:val="none"/>
        </w:rPr>
        <w:t xml:space="preserve"> zmienia:</w:t>
      </w:r>
    </w:p>
    <w:p w14:paraId="0CC4E857" w14:textId="77777777" w:rsidR="00F74F7F" w:rsidRPr="00F74F7F" w:rsidRDefault="00F74F7F" w:rsidP="00F74F7F">
      <w:pPr>
        <w:spacing w:after="0" w:line="319" w:lineRule="auto"/>
        <w:ind w:left="284"/>
        <w:contextualSpacing/>
        <w:jc w:val="both"/>
        <w:rPr>
          <w:rFonts w:cstheme="minorHAnsi"/>
          <w:b/>
          <w:bCs/>
          <w:kern w:val="0"/>
          <w14:ligatures w14:val="none"/>
        </w:rPr>
      </w:pPr>
      <w:r w:rsidRPr="00F74F7F">
        <w:rPr>
          <w:rFonts w:eastAsia="Times New Roman" w:cstheme="minorHAnsi"/>
          <w:b/>
          <w:bCs/>
          <w:kern w:val="0"/>
          <w:lang w:eastAsia="pl-PL"/>
          <w14:ligatures w14:val="none"/>
        </w:rPr>
        <w:t xml:space="preserve">- </w:t>
      </w:r>
      <w:r w:rsidRPr="00F74F7F">
        <w:rPr>
          <w:rFonts w:cstheme="minorHAnsi"/>
          <w:b/>
          <w:bCs/>
          <w:kern w:val="0"/>
          <w14:ligatures w14:val="none"/>
        </w:rPr>
        <w:t>termin składania ofert do 08.04.2025 r. do godz.11.00,</w:t>
      </w:r>
    </w:p>
    <w:p w14:paraId="791209B9" w14:textId="77777777" w:rsidR="00F74F7F" w:rsidRPr="00F74F7F" w:rsidRDefault="00F74F7F" w:rsidP="00F74F7F">
      <w:pPr>
        <w:spacing w:after="0" w:line="319" w:lineRule="auto"/>
        <w:ind w:left="284"/>
        <w:contextualSpacing/>
        <w:jc w:val="both"/>
        <w:rPr>
          <w:rFonts w:cstheme="minorHAnsi"/>
          <w:b/>
          <w:bCs/>
          <w:kern w:val="0"/>
          <w14:ligatures w14:val="none"/>
        </w:rPr>
      </w:pPr>
      <w:r w:rsidRPr="00F74F7F">
        <w:rPr>
          <w:rFonts w:cstheme="minorHAnsi"/>
          <w:b/>
          <w:bCs/>
          <w:kern w:val="0"/>
          <w14:ligatures w14:val="none"/>
        </w:rPr>
        <w:t>- termin otwarcia ofert 08.04.2025 r. godz. 11.30,</w:t>
      </w:r>
    </w:p>
    <w:p w14:paraId="440C0048" w14:textId="77777777" w:rsidR="00F74F7F" w:rsidRPr="00F74F7F" w:rsidRDefault="00F74F7F" w:rsidP="00F74F7F">
      <w:pPr>
        <w:spacing w:after="0" w:line="319" w:lineRule="auto"/>
        <w:ind w:left="284"/>
        <w:contextualSpacing/>
        <w:jc w:val="both"/>
        <w:rPr>
          <w:rFonts w:cstheme="minorHAnsi"/>
          <w:b/>
          <w:bCs/>
          <w:kern w:val="0"/>
          <w14:ligatures w14:val="none"/>
        </w:rPr>
      </w:pPr>
      <w:r w:rsidRPr="00F74F7F">
        <w:rPr>
          <w:rFonts w:cstheme="minorHAnsi"/>
          <w:b/>
          <w:bCs/>
          <w:kern w:val="0"/>
          <w14:ligatures w14:val="none"/>
        </w:rPr>
        <w:t>- termin związania ofertą do 07.05.2025 r.</w:t>
      </w:r>
    </w:p>
    <w:p w14:paraId="1B73B096" w14:textId="77777777" w:rsidR="00F74F7F" w:rsidRPr="00F74F7F" w:rsidRDefault="00F74F7F" w:rsidP="00F74F7F">
      <w:pPr>
        <w:widowControl w:val="0"/>
        <w:autoSpaceDE w:val="0"/>
        <w:autoSpaceDN w:val="0"/>
        <w:spacing w:after="0" w:line="319" w:lineRule="auto"/>
        <w:ind w:left="118" w:right="113"/>
        <w:jc w:val="both"/>
        <w:rPr>
          <w:rFonts w:ascii="Calibri" w:eastAsia="Calibri" w:hAnsi="Calibri" w:cs="Calibri"/>
          <w:kern w:val="0"/>
          <w14:ligatures w14:val="none"/>
        </w:rPr>
      </w:pPr>
    </w:p>
    <w:p w14:paraId="404A2995"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782A10B8"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00D049A6"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51A620DF"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6D47F45C"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7C76618F"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648999C4"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0DDCE6EC"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6E93A2BB" w14:textId="77777777" w:rsidR="00F74F7F" w:rsidRPr="00F74F7F" w:rsidRDefault="00F74F7F" w:rsidP="00F74F7F">
      <w:pPr>
        <w:widowControl w:val="0"/>
        <w:autoSpaceDE w:val="0"/>
        <w:autoSpaceDN w:val="0"/>
        <w:spacing w:after="0" w:line="319" w:lineRule="auto"/>
        <w:rPr>
          <w:rFonts w:ascii="Calibri" w:eastAsia="Calibri" w:hAnsi="Calibri" w:cs="Calibri"/>
          <w:kern w:val="0"/>
          <w14:ligatures w14:val="none"/>
        </w:rPr>
      </w:pPr>
    </w:p>
    <w:p w14:paraId="1ACFEA8B" w14:textId="77777777" w:rsidR="00080FD2" w:rsidRDefault="00080FD2"/>
    <w:sectPr w:rsidR="00080FD2" w:rsidSect="00F74F7F">
      <w:pgSz w:w="11910" w:h="16840"/>
      <w:pgMar w:top="993" w:right="1300" w:bottom="709"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7F"/>
    <w:rsid w:val="00080FD2"/>
    <w:rsid w:val="00481CA5"/>
    <w:rsid w:val="007879CC"/>
    <w:rsid w:val="00BE279C"/>
    <w:rsid w:val="00EC0CA9"/>
    <w:rsid w:val="00F74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BE78"/>
  <w15:chartTrackingRefBased/>
  <w15:docId w15:val="{F6171EDC-4D85-40AC-B96C-44FE805F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4F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4F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4F7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74F7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4F7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4F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4F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4F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4F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4F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4F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4F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74F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74F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4F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4F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4F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4F7F"/>
    <w:rPr>
      <w:rFonts w:eastAsiaTheme="majorEastAsia" w:cstheme="majorBidi"/>
      <w:color w:val="272727" w:themeColor="text1" w:themeTint="D8"/>
    </w:rPr>
  </w:style>
  <w:style w:type="paragraph" w:styleId="Tytu">
    <w:name w:val="Title"/>
    <w:basedOn w:val="Normalny"/>
    <w:next w:val="Normalny"/>
    <w:link w:val="TytuZnak"/>
    <w:uiPriority w:val="10"/>
    <w:qFormat/>
    <w:rsid w:val="00F74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4F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4F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4F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4F7F"/>
    <w:pPr>
      <w:spacing w:before="160"/>
      <w:jc w:val="center"/>
    </w:pPr>
    <w:rPr>
      <w:i/>
      <w:iCs/>
      <w:color w:val="404040" w:themeColor="text1" w:themeTint="BF"/>
    </w:rPr>
  </w:style>
  <w:style w:type="character" w:customStyle="1" w:styleId="CytatZnak">
    <w:name w:val="Cytat Znak"/>
    <w:basedOn w:val="Domylnaczcionkaakapitu"/>
    <w:link w:val="Cytat"/>
    <w:uiPriority w:val="29"/>
    <w:rsid w:val="00F74F7F"/>
    <w:rPr>
      <w:i/>
      <w:iCs/>
      <w:color w:val="404040" w:themeColor="text1" w:themeTint="BF"/>
    </w:rPr>
  </w:style>
  <w:style w:type="paragraph" w:styleId="Akapitzlist">
    <w:name w:val="List Paragraph"/>
    <w:basedOn w:val="Normalny"/>
    <w:uiPriority w:val="34"/>
    <w:qFormat/>
    <w:rsid w:val="00F74F7F"/>
    <w:pPr>
      <w:ind w:left="720"/>
      <w:contextualSpacing/>
    </w:pPr>
  </w:style>
  <w:style w:type="character" w:styleId="Wyrnienieintensywne">
    <w:name w:val="Intense Emphasis"/>
    <w:basedOn w:val="Domylnaczcionkaakapitu"/>
    <w:uiPriority w:val="21"/>
    <w:qFormat/>
    <w:rsid w:val="00F74F7F"/>
    <w:rPr>
      <w:i/>
      <w:iCs/>
      <w:color w:val="2F5496" w:themeColor="accent1" w:themeShade="BF"/>
    </w:rPr>
  </w:style>
  <w:style w:type="paragraph" w:styleId="Cytatintensywny">
    <w:name w:val="Intense Quote"/>
    <w:basedOn w:val="Normalny"/>
    <w:next w:val="Normalny"/>
    <w:link w:val="CytatintensywnyZnak"/>
    <w:uiPriority w:val="30"/>
    <w:qFormat/>
    <w:rsid w:val="00F74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4F7F"/>
    <w:rPr>
      <w:i/>
      <w:iCs/>
      <w:color w:val="2F5496" w:themeColor="accent1" w:themeShade="BF"/>
    </w:rPr>
  </w:style>
  <w:style w:type="character" w:styleId="Odwoanieintensywne">
    <w:name w:val="Intense Reference"/>
    <w:basedOn w:val="Domylnaczcionkaakapitu"/>
    <w:uiPriority w:val="32"/>
    <w:qFormat/>
    <w:rsid w:val="00F74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2732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cp:revision>
  <dcterms:created xsi:type="dcterms:W3CDTF">2025-04-01T06:32:00Z</dcterms:created>
  <dcterms:modified xsi:type="dcterms:W3CDTF">2025-04-01T06:32:00Z</dcterms:modified>
</cp:coreProperties>
</file>