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58898B4B" w:rsidR="000A2079" w:rsidRPr="00606A4F" w:rsidRDefault="004D6BC1" w:rsidP="00606A4F">
      <w:pPr>
        <w:spacing w:line="360" w:lineRule="auto"/>
        <w:ind w:left="4956"/>
        <w:jc w:val="both"/>
        <w:rPr>
          <w:szCs w:val="22"/>
        </w:rPr>
      </w:pPr>
      <w:r w:rsidRPr="004D6BC1">
        <w:rPr>
          <w:b/>
          <w:szCs w:val="22"/>
        </w:rPr>
        <w:t>35</w:t>
      </w:r>
      <w:r w:rsidR="000A2079" w:rsidRPr="004D6BC1">
        <w:rPr>
          <w:b/>
          <w:szCs w:val="22"/>
        </w:rPr>
        <w:t>/</w:t>
      </w:r>
      <w:r w:rsidR="00114856" w:rsidRPr="004D6BC1">
        <w:rPr>
          <w:b/>
          <w:szCs w:val="22"/>
        </w:rPr>
        <w:t>TP</w:t>
      </w:r>
      <w:r w:rsidR="000A2079" w:rsidRPr="004D6BC1">
        <w:rPr>
          <w:b/>
          <w:szCs w:val="22"/>
        </w:rPr>
        <w:t>/20</w:t>
      </w:r>
      <w:r w:rsidR="006027C8" w:rsidRPr="004D6BC1">
        <w:rPr>
          <w:b/>
          <w:szCs w:val="22"/>
        </w:rPr>
        <w:t>2</w:t>
      </w:r>
      <w:r w:rsidR="003A65AA" w:rsidRPr="004D6BC1">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19D9AF0F" w14:textId="608F6714" w:rsidR="000A2079" w:rsidRPr="00F347F0" w:rsidRDefault="004D6BC1" w:rsidP="00F347F0">
      <w:pPr>
        <w:spacing w:line="360" w:lineRule="auto"/>
        <w:jc w:val="center"/>
        <w:rPr>
          <w:b/>
          <w:szCs w:val="22"/>
        </w:rPr>
      </w:pPr>
      <w:r>
        <w:rPr>
          <w:b/>
          <w:szCs w:val="22"/>
        </w:rPr>
        <w:t xml:space="preserve">Dostawa tonerów </w:t>
      </w:r>
      <w:r w:rsidR="00FF22ED">
        <w:rPr>
          <w:b/>
          <w:szCs w:val="22"/>
        </w:rPr>
        <w:t>oraz materiałów eksploatacyjnych do drukarek</w:t>
      </w:r>
    </w:p>
    <w:p w14:paraId="4F1D81BA" w14:textId="77777777" w:rsidR="000A2079" w:rsidRPr="00F347F0" w:rsidRDefault="000A2079" w:rsidP="00F347F0">
      <w:pPr>
        <w:spacing w:line="360" w:lineRule="auto"/>
        <w:jc w:val="both"/>
        <w:rPr>
          <w:szCs w:val="22"/>
        </w:rPr>
      </w:pPr>
    </w:p>
    <w:p w14:paraId="3A06AE03" w14:textId="77777777" w:rsidR="000A2079" w:rsidRPr="00F347F0" w:rsidRDefault="000A2079" w:rsidP="00F347F0">
      <w:pPr>
        <w:spacing w:line="360" w:lineRule="auto"/>
        <w:jc w:val="right"/>
        <w:rPr>
          <w:szCs w:val="22"/>
        </w:rPr>
      </w:pPr>
      <w:r w:rsidRPr="00F347F0">
        <w:rPr>
          <w:szCs w:val="22"/>
        </w:rPr>
        <w:t>Zatwierdzam dnia ...................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33977309" w:rsidR="004C3E5C" w:rsidRPr="004D6BC1"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5424E5E1"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udzielenie </w:t>
      </w:r>
      <w:r w:rsidRPr="004D6BC1">
        <w:rPr>
          <w:bCs/>
          <w:szCs w:val="22"/>
        </w:rPr>
        <w:t xml:space="preserve">zamówienia publicznego prowadzone jest w trybie podstawowym </w:t>
      </w:r>
      <w:r w:rsidR="00900169" w:rsidRPr="004D6BC1">
        <w:rPr>
          <w:bCs/>
          <w:szCs w:val="22"/>
        </w:rPr>
        <w:t xml:space="preserve">na dostawy </w:t>
      </w:r>
      <w:r w:rsidRPr="004D6BC1">
        <w:rPr>
          <w:bCs/>
          <w:szCs w:val="22"/>
        </w:rPr>
        <w:t>na podstawie art. 275 pkt 1 ustawy z dnia 11 września 2019 r. - Prawo zamówień publicznych (</w:t>
      </w:r>
      <w:r w:rsidR="00453AAA" w:rsidRPr="004D6BC1">
        <w:rPr>
          <w:bCs/>
          <w:szCs w:val="22"/>
        </w:rPr>
        <w:t xml:space="preserve">t.j. </w:t>
      </w:r>
      <w:r w:rsidRPr="004D6BC1">
        <w:rPr>
          <w:bCs/>
          <w:szCs w:val="22"/>
        </w:rPr>
        <w:t>Dz. U. z 20</w:t>
      </w:r>
      <w:r w:rsidR="006C3504" w:rsidRPr="004D6BC1">
        <w:rPr>
          <w:bCs/>
          <w:szCs w:val="22"/>
        </w:rPr>
        <w:t>2</w:t>
      </w:r>
      <w:r w:rsidR="00183832" w:rsidRPr="004D6BC1">
        <w:rPr>
          <w:bCs/>
          <w:szCs w:val="22"/>
        </w:rPr>
        <w:t>4</w:t>
      </w:r>
      <w:r w:rsidR="0032463D" w:rsidRPr="004D6BC1">
        <w:rPr>
          <w:bCs/>
          <w:szCs w:val="22"/>
        </w:rPr>
        <w:t xml:space="preserve"> </w:t>
      </w:r>
      <w:r w:rsidRPr="004D6BC1">
        <w:rPr>
          <w:bCs/>
          <w:szCs w:val="22"/>
        </w:rPr>
        <w:t xml:space="preserve">r. poz. </w:t>
      </w:r>
      <w:r w:rsidR="00183832" w:rsidRPr="004D6BC1">
        <w:rPr>
          <w:bCs/>
          <w:szCs w:val="22"/>
        </w:rPr>
        <w:t>1320</w:t>
      </w:r>
      <w:r w:rsidRPr="004D6BC1">
        <w:rPr>
          <w:bCs/>
          <w:szCs w:val="22"/>
        </w:rPr>
        <w:t>) [zwanej dalej</w:t>
      </w:r>
      <w:r w:rsidRPr="00606A4F">
        <w:rPr>
          <w:bCs/>
          <w:szCs w:val="22"/>
        </w:rPr>
        <w:t xml:space="preserve"> także „</w:t>
      </w:r>
      <w:r w:rsidR="004C3E5C" w:rsidRPr="00606A4F">
        <w:rPr>
          <w:bCs/>
          <w:szCs w:val="22"/>
        </w:rPr>
        <w:t>PZP</w:t>
      </w:r>
      <w:r w:rsidRPr="00606A4F">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40FA5C38" w:rsidR="00492523" w:rsidRDefault="00492523" w:rsidP="00606A4F">
      <w:pPr>
        <w:spacing w:line="360" w:lineRule="auto"/>
        <w:ind w:firstLine="360"/>
        <w:rPr>
          <w:szCs w:val="22"/>
        </w:rPr>
      </w:pPr>
    </w:p>
    <w:p w14:paraId="5FB0AD54" w14:textId="77777777" w:rsidR="00FF22ED" w:rsidRPr="00606A4F" w:rsidRDefault="00FF22ED"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5F803174" w14:textId="3DDF0407" w:rsidR="00842E64" w:rsidRPr="00606A4F" w:rsidRDefault="00FF22ED" w:rsidP="00606A4F">
      <w:pPr>
        <w:numPr>
          <w:ilvl w:val="0"/>
          <w:numId w:val="23"/>
        </w:numPr>
        <w:tabs>
          <w:tab w:val="left" w:pos="350"/>
        </w:tabs>
        <w:spacing w:line="360" w:lineRule="auto"/>
        <w:ind w:left="924" w:hanging="357"/>
        <w:rPr>
          <w:bCs/>
          <w:szCs w:val="22"/>
        </w:rPr>
      </w:pPr>
      <w:r w:rsidRPr="00FF22ED">
        <w:rPr>
          <w:szCs w:val="22"/>
        </w:rPr>
        <w:t xml:space="preserve">Przedmiotem zamówienia jest dostawa wraz z wniesieniem oryginalnych tonerów, zamienników oraz materiałów eksploatacyjnych do drukarek w asortymencie i ilościach </w:t>
      </w:r>
      <w:r w:rsidR="00E8170B" w:rsidRPr="00E8170B">
        <w:rPr>
          <w:szCs w:val="22"/>
        </w:rPr>
        <w:t xml:space="preserve">określonych </w:t>
      </w:r>
      <w:r w:rsidRPr="00FF22ED">
        <w:rPr>
          <w:szCs w:val="22"/>
        </w:rPr>
        <w:t>w Załączniku nr 2 do IDW – Formularz asortymentowo-ilościowy.</w:t>
      </w:r>
    </w:p>
    <w:p w14:paraId="41AF624F" w14:textId="60E385C6" w:rsidR="00C409FF" w:rsidRDefault="00F27767" w:rsidP="00C409FF">
      <w:pPr>
        <w:numPr>
          <w:ilvl w:val="0"/>
          <w:numId w:val="23"/>
        </w:numPr>
        <w:spacing w:line="360" w:lineRule="auto"/>
        <w:ind w:left="924" w:hanging="357"/>
        <w:rPr>
          <w:szCs w:val="22"/>
        </w:rPr>
      </w:pPr>
      <w:r w:rsidRPr="00606A4F">
        <w:rPr>
          <w:szCs w:val="22"/>
        </w:rPr>
        <w:t>Oferowany przedmiot zamówienia musi spełniać wymagania Zamawiającego wymienione w Formularzu asortymentowo-ilościowym, być fabrycznie nowy i gotowy do użytkowania zgodnie z przeznaczeniem bez dokonywania dodatkowych zakupów</w:t>
      </w:r>
      <w:r w:rsidR="004D6BC1">
        <w:rPr>
          <w:szCs w:val="22"/>
        </w:rPr>
        <w:t xml:space="preserve">. </w:t>
      </w:r>
    </w:p>
    <w:p w14:paraId="3D4D26CD" w14:textId="3F7A4859"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4D6BC1" w:rsidRPr="004D6BC1">
        <w:rPr>
          <w:b/>
          <w:bCs/>
          <w:szCs w:val="22"/>
        </w:rPr>
        <w:t>2</w:t>
      </w:r>
      <w:r w:rsidRPr="004D6BC1">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4D6BC1"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4D6BC1">
        <w:rPr>
          <w:bCs/>
          <w:szCs w:val="22"/>
        </w:rPr>
        <w:t xml:space="preserve">kluczowych </w:t>
      </w:r>
      <w:r w:rsidR="0087551E" w:rsidRPr="004D6BC1">
        <w:rPr>
          <w:bCs/>
          <w:szCs w:val="22"/>
        </w:rPr>
        <w:t>zadań</w:t>
      </w:r>
      <w:r w:rsidR="0087551E" w:rsidRPr="004D6BC1">
        <w:rPr>
          <w:szCs w:val="22"/>
        </w:rPr>
        <w:t xml:space="preserve"> dotyczących zamówienia.</w:t>
      </w:r>
    </w:p>
    <w:p w14:paraId="191CE6C4" w14:textId="77777777" w:rsidR="00B34568" w:rsidRPr="004D6BC1" w:rsidRDefault="00B34568" w:rsidP="00606A4F">
      <w:pPr>
        <w:numPr>
          <w:ilvl w:val="0"/>
          <w:numId w:val="23"/>
        </w:numPr>
        <w:tabs>
          <w:tab w:val="left" w:pos="350"/>
        </w:tabs>
        <w:spacing w:line="360" w:lineRule="auto"/>
        <w:ind w:left="924" w:hanging="357"/>
        <w:rPr>
          <w:bCs/>
          <w:szCs w:val="22"/>
        </w:rPr>
      </w:pPr>
      <w:r w:rsidRPr="004D6BC1">
        <w:rPr>
          <w:bCs/>
          <w:szCs w:val="22"/>
        </w:rPr>
        <w:t>Zamawiający nie przewiduje wymagań</w:t>
      </w:r>
      <w:r w:rsidR="00BF5446" w:rsidRPr="004D6BC1">
        <w:rPr>
          <w:bCs/>
          <w:szCs w:val="22"/>
        </w:rPr>
        <w:t xml:space="preserve"> w zakresie zatrudnienia na podstawie stosunku pracy</w:t>
      </w:r>
      <w:r w:rsidRPr="004D6BC1">
        <w:rPr>
          <w:bCs/>
          <w:szCs w:val="22"/>
        </w:rPr>
        <w:t xml:space="preserve">, o których mowa w art. </w:t>
      </w:r>
      <w:r w:rsidR="00BF5446" w:rsidRPr="004D6BC1">
        <w:rPr>
          <w:bCs/>
          <w:szCs w:val="22"/>
        </w:rPr>
        <w:t>95</w:t>
      </w:r>
      <w:r w:rsidRPr="004D6BC1">
        <w:rPr>
          <w:bCs/>
          <w:szCs w:val="22"/>
        </w:rPr>
        <w:t xml:space="preserve"> </w:t>
      </w:r>
      <w:r w:rsidR="00C36AD8" w:rsidRPr="004D6BC1">
        <w:rPr>
          <w:bCs/>
          <w:szCs w:val="22"/>
        </w:rPr>
        <w:t>PZP</w:t>
      </w:r>
      <w:r w:rsidR="00BF5446" w:rsidRPr="004D6BC1">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4D6BC1" w:rsidRDefault="000952A3" w:rsidP="00606A4F">
      <w:pPr>
        <w:numPr>
          <w:ilvl w:val="0"/>
          <w:numId w:val="23"/>
        </w:numPr>
        <w:tabs>
          <w:tab w:val="left" w:pos="350"/>
        </w:tabs>
        <w:spacing w:line="360" w:lineRule="auto"/>
        <w:ind w:left="924" w:hanging="357"/>
        <w:rPr>
          <w:bCs/>
          <w:szCs w:val="22"/>
        </w:rPr>
      </w:pPr>
      <w:r w:rsidRPr="00606A4F">
        <w:rPr>
          <w:bCs/>
          <w:szCs w:val="22"/>
        </w:rPr>
        <w:t xml:space="preserve">Zamawiający nie zastrzega możliwości ubiegania się o udzielenie zamówienia </w:t>
      </w:r>
      <w:r w:rsidRPr="004D6BC1">
        <w:rPr>
          <w:bCs/>
          <w:szCs w:val="22"/>
        </w:rPr>
        <w:t>wyłącznie przez wykonawców, o których mowa w art. 94</w:t>
      </w:r>
      <w:r w:rsidR="00C7260F" w:rsidRPr="004D6BC1">
        <w:rPr>
          <w:bCs/>
          <w:szCs w:val="22"/>
        </w:rPr>
        <w:t xml:space="preserve"> </w:t>
      </w:r>
      <w:r w:rsidR="00C36AD8" w:rsidRPr="004D6BC1">
        <w:rPr>
          <w:bCs/>
          <w:szCs w:val="22"/>
        </w:rPr>
        <w:t>PZP</w:t>
      </w:r>
      <w:r w:rsidRPr="004D6BC1">
        <w:rPr>
          <w:bCs/>
          <w:szCs w:val="22"/>
        </w:rPr>
        <w:t>.</w:t>
      </w:r>
    </w:p>
    <w:p w14:paraId="36C62DD5" w14:textId="29D0A4F7" w:rsidR="00ED4788" w:rsidRPr="004D6BC1" w:rsidRDefault="00ED4788" w:rsidP="00606A4F">
      <w:pPr>
        <w:numPr>
          <w:ilvl w:val="0"/>
          <w:numId w:val="23"/>
        </w:numPr>
        <w:tabs>
          <w:tab w:val="left" w:pos="350"/>
        </w:tabs>
        <w:spacing w:line="360" w:lineRule="auto"/>
        <w:ind w:left="924" w:hanging="357"/>
        <w:rPr>
          <w:bCs/>
          <w:szCs w:val="22"/>
        </w:rPr>
      </w:pPr>
      <w:r w:rsidRPr="004D6BC1">
        <w:rPr>
          <w:bCs/>
          <w:szCs w:val="22"/>
        </w:rPr>
        <w:t xml:space="preserve">Zamawiający nie przewiduje udzielenia zamówień, o których mowa w art. </w:t>
      </w:r>
      <w:r w:rsidR="00D323ED" w:rsidRPr="004D6BC1">
        <w:rPr>
          <w:bCs/>
          <w:szCs w:val="22"/>
        </w:rPr>
        <w:t xml:space="preserve">214 </w:t>
      </w:r>
      <w:r w:rsidRPr="004D6BC1">
        <w:rPr>
          <w:bCs/>
          <w:szCs w:val="22"/>
        </w:rPr>
        <w:t>ust. 1</w:t>
      </w:r>
      <w:r w:rsidR="001B4BF5" w:rsidRPr="004D6BC1">
        <w:rPr>
          <w:bCs/>
          <w:szCs w:val="22"/>
        </w:rPr>
        <w:t xml:space="preserve"> pkt 8</w:t>
      </w:r>
      <w:r w:rsidR="008E786D" w:rsidRPr="004D6BC1">
        <w:rPr>
          <w:bCs/>
          <w:szCs w:val="22"/>
        </w:rPr>
        <w:t xml:space="preserve"> </w:t>
      </w:r>
      <w:r w:rsidR="00C36AD8" w:rsidRPr="004D6BC1">
        <w:rPr>
          <w:bCs/>
          <w:szCs w:val="22"/>
        </w:rPr>
        <w:t>PZP</w:t>
      </w:r>
      <w:r w:rsidR="001B4BF5" w:rsidRPr="004D6BC1">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rozliczenia w walutach obcych.</w:t>
      </w:r>
    </w:p>
    <w:p w14:paraId="2CBE7D4E" w14:textId="7AF26216" w:rsidR="00C36AD8" w:rsidRPr="004D6BC1" w:rsidRDefault="000952A3" w:rsidP="00606A4F">
      <w:pPr>
        <w:numPr>
          <w:ilvl w:val="0"/>
          <w:numId w:val="23"/>
        </w:numPr>
        <w:tabs>
          <w:tab w:val="left" w:pos="350"/>
        </w:tabs>
        <w:spacing w:line="360" w:lineRule="auto"/>
        <w:ind w:left="924" w:hanging="357"/>
        <w:rPr>
          <w:bCs/>
          <w:szCs w:val="22"/>
        </w:rPr>
      </w:pPr>
      <w:r w:rsidRPr="004D6BC1">
        <w:rPr>
          <w:bCs/>
          <w:szCs w:val="22"/>
        </w:rPr>
        <w:t xml:space="preserve">Zamawiający nie przewiduje przeprowadzenia przez wykonawcę wizji lokalnej </w:t>
      </w:r>
      <w:r w:rsidR="00605053" w:rsidRPr="004D6BC1">
        <w:rPr>
          <w:bCs/>
          <w:szCs w:val="22"/>
        </w:rPr>
        <w:br/>
      </w:r>
      <w:r w:rsidRPr="004D6BC1">
        <w:rPr>
          <w:bCs/>
          <w:szCs w:val="22"/>
        </w:rPr>
        <w:t>lub sprawdzenia przez niego dokumentów niezbędnych do realizacji zamówienia, o których mowa w art. 131 ust. 2</w:t>
      </w:r>
      <w:r w:rsidR="00C7260F" w:rsidRPr="004D6BC1">
        <w:rPr>
          <w:bCs/>
          <w:szCs w:val="22"/>
        </w:rPr>
        <w:t xml:space="preserve"> </w:t>
      </w:r>
      <w:r w:rsidR="00C36AD8" w:rsidRPr="004D6BC1">
        <w:rPr>
          <w:bCs/>
          <w:szCs w:val="22"/>
        </w:rPr>
        <w:t>PZP.</w:t>
      </w:r>
      <w:r w:rsidR="003F0F3B" w:rsidRPr="004D6BC1">
        <w:rPr>
          <w:bCs/>
          <w:szCs w:val="22"/>
        </w:rPr>
        <w:t xml:space="preserve"> </w:t>
      </w:r>
    </w:p>
    <w:p w14:paraId="61146E54" w14:textId="23E67588" w:rsidR="006934DE" w:rsidRDefault="00B34568" w:rsidP="00606A4F">
      <w:pPr>
        <w:numPr>
          <w:ilvl w:val="0"/>
          <w:numId w:val="23"/>
        </w:numPr>
        <w:tabs>
          <w:tab w:val="left" w:pos="350"/>
        </w:tabs>
        <w:spacing w:line="360" w:lineRule="auto"/>
        <w:ind w:left="924" w:hanging="357"/>
        <w:rPr>
          <w:bCs/>
          <w:szCs w:val="22"/>
        </w:rPr>
      </w:pPr>
      <w:r w:rsidRPr="00606A4F">
        <w:rPr>
          <w:szCs w:val="22"/>
        </w:rPr>
        <w:t>Wspólny Słownik Zamówień (CPV):</w:t>
      </w:r>
    </w:p>
    <w:p w14:paraId="5B37BAD2" w14:textId="3F765416" w:rsidR="004D6BC1" w:rsidRPr="004D6BC1" w:rsidRDefault="004D6BC1" w:rsidP="004D6BC1">
      <w:pPr>
        <w:tabs>
          <w:tab w:val="left" w:pos="350"/>
        </w:tabs>
        <w:spacing w:line="360" w:lineRule="auto"/>
        <w:ind w:left="924"/>
        <w:rPr>
          <w:bCs/>
          <w:szCs w:val="22"/>
        </w:rPr>
      </w:pPr>
      <w:r w:rsidRPr="004D6BC1">
        <w:rPr>
          <w:bCs/>
          <w:szCs w:val="22"/>
        </w:rPr>
        <w:t xml:space="preserve">30125110-5 </w:t>
      </w:r>
      <w:r w:rsidR="00671383">
        <w:rPr>
          <w:bCs/>
          <w:szCs w:val="22"/>
        </w:rPr>
        <w:t xml:space="preserve">– </w:t>
      </w:r>
      <w:r w:rsidRPr="004D6BC1">
        <w:rPr>
          <w:bCs/>
          <w:szCs w:val="22"/>
        </w:rPr>
        <w:t>Toner do drukarek laserowych</w:t>
      </w: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lastRenderedPageBreak/>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1EE2F06A" w:rsidR="000655C8" w:rsidRPr="004D6BC1" w:rsidRDefault="000655C8" w:rsidP="00606A4F">
      <w:pPr>
        <w:numPr>
          <w:ilvl w:val="0"/>
          <w:numId w:val="24"/>
        </w:numPr>
        <w:spacing w:line="360" w:lineRule="auto"/>
        <w:ind w:left="924" w:hanging="357"/>
        <w:rPr>
          <w:szCs w:val="22"/>
        </w:rPr>
      </w:pPr>
      <w:bookmarkStart w:id="10" w:name="_Hlk58832710"/>
      <w:r w:rsidRPr="004D6BC1">
        <w:rPr>
          <w:szCs w:val="22"/>
        </w:rPr>
        <w:t xml:space="preserve">Zamawiający </w:t>
      </w:r>
      <w:r w:rsidRPr="004D6BC1">
        <w:rPr>
          <w:b/>
          <w:bCs/>
          <w:szCs w:val="22"/>
        </w:rPr>
        <w:t>żąda</w:t>
      </w:r>
      <w:r w:rsidRPr="004D6BC1">
        <w:rPr>
          <w:szCs w:val="22"/>
        </w:rPr>
        <w:t xml:space="preserve"> złożenia wraz z ofertą przedmiotowych środków   dowodowych.</w:t>
      </w:r>
      <w:bookmarkEnd w:id="10"/>
    </w:p>
    <w:p w14:paraId="70668CF1" w14:textId="77777777" w:rsidR="00B76984" w:rsidRDefault="00D42CE5" w:rsidP="00606A4F">
      <w:pPr>
        <w:numPr>
          <w:ilvl w:val="0"/>
          <w:numId w:val="24"/>
        </w:numPr>
        <w:spacing w:line="360" w:lineRule="auto"/>
        <w:ind w:left="924" w:hanging="357"/>
        <w:rPr>
          <w:szCs w:val="22"/>
        </w:rPr>
      </w:pPr>
      <w:r w:rsidRPr="004D6BC1">
        <w:rPr>
          <w:szCs w:val="22"/>
        </w:rPr>
        <w:t xml:space="preserve">Zamawiający </w:t>
      </w:r>
      <w:r w:rsidRPr="004D6BC1">
        <w:rPr>
          <w:b/>
          <w:bCs/>
          <w:szCs w:val="22"/>
        </w:rPr>
        <w:t>nie wymaga</w:t>
      </w:r>
      <w:r w:rsidRPr="004D6BC1">
        <w:rPr>
          <w:szCs w:val="22"/>
        </w:rPr>
        <w:t xml:space="preserve"> złożenia</w:t>
      </w:r>
      <w:r w:rsidRPr="00606A4F">
        <w:rPr>
          <w:szCs w:val="22"/>
        </w:rPr>
        <w:t xml:space="preserve"> podmiotowych środków dowodowych.</w:t>
      </w:r>
      <w:r w:rsidR="00B76984">
        <w:rPr>
          <w:szCs w:val="22"/>
        </w:rPr>
        <w:t xml:space="preserve"> </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77777777" w:rsidR="000A6005" w:rsidRPr="00606A4F" w:rsidRDefault="009758CF" w:rsidP="00606A4F">
      <w:pPr>
        <w:numPr>
          <w:ilvl w:val="0"/>
          <w:numId w:val="25"/>
        </w:numPr>
        <w:spacing w:line="360" w:lineRule="auto"/>
        <w:ind w:left="924" w:hanging="357"/>
        <w:rPr>
          <w:szCs w:val="22"/>
        </w:rPr>
      </w:pPr>
      <w:r w:rsidRPr="00606A4F">
        <w:rPr>
          <w:szCs w:val="22"/>
        </w:rPr>
        <w:t xml:space="preserve">Zamówienie należy </w:t>
      </w:r>
      <w:r w:rsidRPr="004D6BC1">
        <w:rPr>
          <w:szCs w:val="22"/>
        </w:rPr>
        <w:t>realizować, sukcesywnie wg rzeczyw</w:t>
      </w:r>
      <w:r w:rsidR="00AE215C" w:rsidRPr="004D6BC1">
        <w:rPr>
          <w:szCs w:val="22"/>
        </w:rPr>
        <w:t xml:space="preserve">istych potrzeb </w:t>
      </w:r>
      <w:r w:rsidRPr="004D6BC1">
        <w:rPr>
          <w:szCs w:val="22"/>
        </w:rPr>
        <w:t xml:space="preserve">Zamawiającego, przez okres </w:t>
      </w:r>
      <w:r w:rsidR="00D24964" w:rsidRPr="004D6BC1">
        <w:rPr>
          <w:b/>
          <w:szCs w:val="22"/>
        </w:rPr>
        <w:t>12</w:t>
      </w:r>
      <w:r w:rsidRPr="004D6BC1">
        <w:rPr>
          <w:b/>
          <w:szCs w:val="22"/>
        </w:rPr>
        <w:t xml:space="preserve"> miesięcy</w:t>
      </w:r>
      <w:r w:rsidRPr="004D6BC1">
        <w:rPr>
          <w:szCs w:val="22"/>
        </w:rPr>
        <w:t xml:space="preserve"> od</w:t>
      </w:r>
      <w:r w:rsidRPr="00606A4F">
        <w:rPr>
          <w:szCs w:val="22"/>
        </w:rPr>
        <w:t xml:space="preserve"> dnia zawarcia umowy.</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5D98A1D5" w:rsidR="00C36AD8" w:rsidRPr="004D6BC1"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przeciwdziałania </w:t>
      </w:r>
      <w:r w:rsidRPr="004D6BC1">
        <w:rPr>
          <w:szCs w:val="22"/>
        </w:rPr>
        <w:t>wspieraniu agresji na Ukrainę oraz służących ochronie bezpieczeństwa narodowego</w:t>
      </w:r>
      <w:r w:rsidR="008504B0" w:rsidRPr="004D6BC1">
        <w:rPr>
          <w:szCs w:val="22"/>
        </w:rPr>
        <w:t xml:space="preserve"> (</w:t>
      </w:r>
      <w:r w:rsidR="0096167C" w:rsidRPr="004D6BC1">
        <w:rPr>
          <w:szCs w:val="22"/>
        </w:rPr>
        <w:t>t.j. Dz. U. z 2024 r. poz. 507</w:t>
      </w:r>
      <w:r w:rsidR="008504B0" w:rsidRPr="004D6BC1">
        <w:rPr>
          <w:szCs w:val="22"/>
        </w:rPr>
        <w:t>)</w:t>
      </w:r>
      <w:r w:rsidRPr="004D6BC1">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4D6BC1">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9FD8452" w14:textId="032DE6CE" w:rsidR="004956C7" w:rsidRPr="004D6BC1" w:rsidRDefault="00F3141A" w:rsidP="004D6BC1">
      <w:pPr>
        <w:spacing w:line="360" w:lineRule="auto"/>
        <w:ind w:left="1293" w:hanging="17"/>
        <w:rPr>
          <w:bCs/>
          <w:szCs w:val="22"/>
        </w:rPr>
      </w:pPr>
      <w:bookmarkStart w:id="15" w:name="_Hlk58831575"/>
      <w:r w:rsidRPr="004D6BC1">
        <w:rPr>
          <w:bCs/>
          <w:szCs w:val="22"/>
        </w:rPr>
        <w:t>Zamawiający nie określił warunku w tym zakresie</w:t>
      </w:r>
      <w:r w:rsidRPr="006C0726">
        <w:rPr>
          <w:bCs/>
          <w:szCs w:val="22"/>
          <w:highlight w:val="lightGray"/>
        </w:rPr>
        <w:t>.</w:t>
      </w:r>
      <w:bookmarkEnd w:id="15"/>
    </w:p>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lastRenderedPageBreak/>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4D6BC1"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w:t>
      </w:r>
      <w:r w:rsidRPr="004D6BC1">
        <w:rPr>
          <w:rFonts w:eastAsia="Calibri" w:cs="Calibri"/>
          <w:szCs w:val="22"/>
          <w:lang w:eastAsia="hi-IN" w:bidi="hi-IN"/>
        </w:rPr>
        <w:t xml:space="preserve">Rozporządzeniem </w:t>
      </w:r>
      <w:r w:rsidRPr="004D6BC1">
        <w:rPr>
          <w:rFonts w:eastAsia="Roboto" w:cs="Roboto"/>
          <w:szCs w:val="22"/>
          <w:lang w:eastAsia="hi-IN" w:bidi="hi-IN"/>
        </w:rPr>
        <w:t>Prezesa Rady Ministrów z dnia 30 grudnia 2020</w:t>
      </w:r>
      <w:r w:rsidR="00582786" w:rsidRPr="004D6BC1">
        <w:rPr>
          <w:rFonts w:eastAsia="Roboto" w:cs="Roboto"/>
          <w:szCs w:val="22"/>
          <w:lang w:eastAsia="hi-IN" w:bidi="hi-IN"/>
        </w:rPr>
        <w:t xml:space="preserve"> </w:t>
      </w:r>
      <w:r w:rsidRPr="004D6BC1">
        <w:rPr>
          <w:rFonts w:eastAsia="Roboto" w:cs="Roboto"/>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4D6BC1">
        <w:rPr>
          <w:rFonts w:eastAsia="Roboto" w:cs="Roboto"/>
          <w:szCs w:val="22"/>
          <w:lang w:eastAsia="hi-IN" w:bidi="hi-IN"/>
        </w:rPr>
        <w:t xml:space="preserve"> </w:t>
      </w:r>
      <w:r w:rsidRPr="004D6BC1">
        <w:rPr>
          <w:rFonts w:eastAsia="Roboto" w:cs="Roboto"/>
          <w:szCs w:val="22"/>
          <w:lang w:eastAsia="hi-IN" w:bidi="hi-IN"/>
        </w:rPr>
        <w:t>r. poz. 2452)</w:t>
      </w:r>
      <w:r w:rsidRPr="004D6BC1">
        <w:rPr>
          <w:rFonts w:eastAsia="Calibri" w:cs="Calibri"/>
          <w:szCs w:val="22"/>
          <w:lang w:eastAsia="hi-IN" w:bidi="hi-IN"/>
        </w:rPr>
        <w:t xml:space="preserve">, określa niezbędne wymagania sprzętowo - aplikacyjne umożliwiające pracę na </w:t>
      </w:r>
      <w:hyperlink r:id="rId18" w:history="1">
        <w:r w:rsidRPr="004D6BC1">
          <w:rPr>
            <w:szCs w:val="22"/>
            <w:u w:val="single"/>
          </w:rPr>
          <w:t>platformazakupowa.pl</w:t>
        </w:r>
      </w:hyperlink>
      <w:r w:rsidRPr="004D6BC1">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4D6BC1">
        <w:rPr>
          <w:rFonts w:eastAsia="Calibri" w:cs="Calibri"/>
          <w:szCs w:val="22"/>
          <w:lang w:eastAsia="hi-IN" w:bidi="hi-IN"/>
        </w:rPr>
        <w:t>stały dostęp do sieci Internet</w:t>
      </w:r>
      <w:r w:rsidRPr="00606A4F">
        <w:rPr>
          <w:rFonts w:eastAsia="Calibri" w:cs="Calibri"/>
          <w:szCs w:val="22"/>
          <w:lang w:eastAsia="hi-IN" w:bidi="hi-IN"/>
        </w:rPr>
        <w:t xml:space="preserve"> o gwarantowanej przepustowości nie mniejszej niż 512 kb/s;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zainstalowany program Adobe Acrobat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(hh:mm:ss)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 xml:space="preserve">pod </w:t>
        </w:r>
        <w:r w:rsidRPr="00606A4F">
          <w:rPr>
            <w:szCs w:val="22"/>
          </w:rPr>
          <w:lastRenderedPageBreak/>
          <w:t>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5B7E496C" w:rsidR="00A34C9D" w:rsidRPr="00606A4F" w:rsidRDefault="00403C6A" w:rsidP="00606A4F">
      <w:pPr>
        <w:spacing w:line="360" w:lineRule="auto"/>
        <w:ind w:left="567"/>
        <w:rPr>
          <w:szCs w:val="22"/>
          <w:lang w:val="en-US"/>
        </w:rPr>
      </w:pPr>
      <w:r w:rsidRPr="004D6BC1">
        <w:rPr>
          <w:szCs w:val="22"/>
          <w:lang w:val="en-US"/>
        </w:rPr>
        <w:t>Klaudia Karwacka</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9"/>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75AFBD3C" w:rsidR="005769A6" w:rsidRPr="00606A4F" w:rsidRDefault="00953BD4" w:rsidP="00606A4F">
      <w:pPr>
        <w:spacing w:line="360" w:lineRule="auto"/>
        <w:ind w:left="924" w:firstLine="69"/>
        <w:rPr>
          <w:szCs w:val="22"/>
        </w:rPr>
      </w:pPr>
      <w:r>
        <w:rPr>
          <w:b/>
          <w:bCs/>
          <w:szCs w:val="22"/>
        </w:rPr>
        <w:t>24 maja</w:t>
      </w:r>
      <w:r w:rsidR="004D6BC1">
        <w:rPr>
          <w:b/>
          <w:bCs/>
          <w:szCs w:val="22"/>
        </w:rPr>
        <w:t xml:space="preserve"> </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lastRenderedPageBreak/>
        <w:t>Dokumenty składane razem z ofertą.</w:t>
      </w:r>
      <w:bookmarkEnd w:id="20"/>
      <w:bookmarkEnd w:id="21"/>
    </w:p>
    <w:p w14:paraId="37803D72" w14:textId="6379905A"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004D6BC1">
        <w:rPr>
          <w:b/>
          <w:bCs/>
          <w:szCs w:val="22"/>
        </w:rPr>
        <w:t>Z</w:t>
      </w:r>
      <w:r w:rsidRPr="004F2355">
        <w:rPr>
          <w:b/>
          <w:bCs/>
          <w:szCs w:val="22"/>
        </w:rPr>
        <w:t>ałącznik nr 1 do IDW</w:t>
      </w:r>
      <w:r w:rsidRPr="004F2355">
        <w:rPr>
          <w:szCs w:val="22"/>
        </w:rPr>
        <w:t>) wraz Formularzem asortymentowo-ilościowym (</w:t>
      </w:r>
      <w:bookmarkStart w:id="22" w:name="_Hlk122420080"/>
      <w:r w:rsidR="004D6BC1">
        <w:rPr>
          <w:b/>
          <w:bCs/>
          <w:szCs w:val="22"/>
        </w:rPr>
        <w:t>Z</w:t>
      </w:r>
      <w:r w:rsidRPr="004F2355">
        <w:rPr>
          <w:b/>
          <w:bCs/>
          <w:szCs w:val="22"/>
        </w:rPr>
        <w:t>ałącznik nr 2 do IDW</w:t>
      </w:r>
      <w:bookmarkEnd w:id="22"/>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50175D9B"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 xml:space="preserve">podmiot trzeci, na którego potencjał powołuje się Wykonawca celem potwierdzenia spełnienia warunków udziału w postępowaniu. W takim przypadku oświadczenie potwierdza brak podstaw wykluczenia podmiotu </w:t>
      </w:r>
      <w:r w:rsidRPr="00606A4F">
        <w:rPr>
          <w:szCs w:val="22"/>
        </w:rPr>
        <w:lastRenderedPageBreak/>
        <w:t>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49A3BDE9"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3" w:name="_Hlk104984648"/>
      <w:r w:rsidRPr="00606A4F">
        <w:rPr>
          <w:i/>
          <w:iCs/>
          <w:szCs w:val="22"/>
        </w:rPr>
        <w:t xml:space="preserve">– </w:t>
      </w:r>
      <w:bookmarkEnd w:id="23"/>
      <w:r w:rsidRPr="00606A4F">
        <w:rPr>
          <w:i/>
          <w:iCs/>
          <w:szCs w:val="22"/>
        </w:rPr>
        <w:t>jeśli dotyczy.</w:t>
      </w:r>
    </w:p>
    <w:p w14:paraId="66821E7F" w14:textId="29B97F18"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73CBC10" w14:textId="2D7D883D" w:rsidR="00F37A7E" w:rsidRPr="004D6BC1" w:rsidRDefault="00F37A7E" w:rsidP="00F37A7E">
      <w:pPr>
        <w:numPr>
          <w:ilvl w:val="0"/>
          <w:numId w:val="38"/>
        </w:numPr>
        <w:spacing w:line="360" w:lineRule="auto"/>
        <w:ind w:left="1661" w:hanging="357"/>
        <w:rPr>
          <w:szCs w:val="22"/>
        </w:rPr>
      </w:pPr>
      <w:r w:rsidRPr="004D6BC1">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 xml:space="preserve">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w:t>
      </w:r>
      <w:r w:rsidRPr="00606A4F">
        <w:rPr>
          <w:szCs w:val="22"/>
        </w:rPr>
        <w:lastRenderedPageBreak/>
        <w:t>lutego 2005 roku o informatyzacji działalności podmiotów realizujących zadania publiczne, względnie innych dokumentów złożonych wraz z ofertą.</w:t>
      </w:r>
    </w:p>
    <w:p w14:paraId="4E923AE6" w14:textId="56903973" w:rsidR="00FD45D3" w:rsidRPr="00606A4F" w:rsidRDefault="00FD45D3" w:rsidP="005C49D8">
      <w:pPr>
        <w:pStyle w:val="Nagwek1"/>
        <w:spacing w:line="360" w:lineRule="auto"/>
        <w:ind w:left="720"/>
        <w:jc w:val="left"/>
        <w:rPr>
          <w:rFonts w:ascii="Fira Sans" w:hAnsi="Fira Sans" w:cs="Times New Roman"/>
          <w:szCs w:val="22"/>
        </w:rPr>
      </w:pPr>
    </w:p>
    <w:p w14:paraId="5AEA7586" w14:textId="77777777" w:rsidR="00FD45D3" w:rsidRPr="00606A4F" w:rsidRDefault="00FD45D3" w:rsidP="005C49D8">
      <w:pPr>
        <w:pStyle w:val="Nagwek1"/>
        <w:numPr>
          <w:ilvl w:val="0"/>
          <w:numId w:val="2"/>
        </w:numPr>
        <w:spacing w:line="360" w:lineRule="auto"/>
        <w:ind w:left="539" w:hanging="539"/>
        <w:jc w:val="left"/>
        <w:rPr>
          <w:rFonts w:ascii="Fira Sans" w:hAnsi="Fira Sans"/>
          <w:szCs w:val="22"/>
        </w:rPr>
      </w:pPr>
      <w:bookmarkStart w:id="24" w:name="_Toc122437993"/>
      <w:bookmarkStart w:id="25" w:name="_Toc123114817"/>
      <w:r w:rsidRPr="00606A4F">
        <w:rPr>
          <w:rFonts w:ascii="Fira Sans" w:hAnsi="Fira Sans"/>
          <w:szCs w:val="22"/>
        </w:rPr>
        <w:t>Opis sposobu przygotowania oferty oraz dokumentów wymaganych przez zamawiającego w SWZ</w:t>
      </w:r>
      <w:bookmarkStart w:id="26" w:name="_Hlk108003619"/>
      <w:r w:rsidRPr="00606A4F">
        <w:rPr>
          <w:rFonts w:ascii="Fira Sans" w:hAnsi="Fira Sans"/>
          <w:szCs w:val="22"/>
        </w:rPr>
        <w:t>.</w:t>
      </w:r>
      <w:bookmarkEnd w:id="24"/>
      <w:bookmarkEnd w:id="25"/>
    </w:p>
    <w:p w14:paraId="6FAB8C10" w14:textId="77777777" w:rsidR="0024435C" w:rsidRPr="00606A4F" w:rsidRDefault="0024435C" w:rsidP="005C49D8">
      <w:pPr>
        <w:widowControl w:val="0"/>
        <w:numPr>
          <w:ilvl w:val="0"/>
          <w:numId w:val="46"/>
        </w:numPr>
        <w:suppressAutoHyphens/>
        <w:spacing w:line="360" w:lineRule="auto"/>
        <w:ind w:left="924" w:hanging="357"/>
        <w:rPr>
          <w:rFonts w:eastAsia="Calibri" w:cs="Calibri"/>
          <w:szCs w:val="22"/>
          <w:lang w:eastAsia="hi-IN" w:bidi="hi-IN"/>
        </w:rPr>
      </w:pPr>
      <w:bookmarkStart w:id="27"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 xml:space="preserve">sporządzona na podstawie załączników niniejszej SWZ w </w:t>
      </w:r>
      <w:r w:rsidRPr="00606A4F">
        <w:rPr>
          <w:rFonts w:eastAsia="Calibri" w:cs="Calibri"/>
          <w:szCs w:val="22"/>
          <w:lang w:eastAsia="hi-IN" w:bidi="hi-IN"/>
        </w:rPr>
        <w:lastRenderedPageBreak/>
        <w:t>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przypadku wykorzystania formatu podpisu XAdES zewnętrzny. Zamawiający wymaga dołączenia odpowiedniej ilości plików tj. podpisywanych plików z danymi oraz plików podpisu w formacie XAdES.</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953BD4"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24D3DF59"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w:t>
      </w:r>
      <w:r w:rsidR="00474227">
        <w:rPr>
          <w:rFonts w:eastAsia="Calibri" w:cs="Calibri"/>
          <w:szCs w:val="22"/>
          <w:lang w:eastAsia="hi-IN" w:bidi="hi-IN"/>
        </w:rPr>
        <w:t xml:space="preserve"> </w:t>
      </w:r>
      <w:r w:rsidRPr="00606A4F">
        <w:rPr>
          <w:rFonts w:eastAsia="Calibri" w:cs="Calibri"/>
          <w:szCs w:val="22"/>
          <w:lang w:eastAsia="hi-IN" w:bidi="hi-IN"/>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lastRenderedPageBreak/>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.doc, .docx, .xls, .xlsx,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4D6BC1">
        <w:rPr>
          <w:rFonts w:cs="Calibri"/>
          <w:szCs w:val="22"/>
        </w:rPr>
        <w:t>elektronicznej oraz minimalnych wymagań dla systemów teleinformatycznych występują: .rar</w:t>
      </w:r>
      <w:r w:rsidRPr="00606A4F">
        <w:rPr>
          <w:rFonts w:cs="Calibri"/>
          <w:szCs w:val="22"/>
        </w:rPr>
        <w:t xml:space="preserve"> .gif .bmp .numbers .pages.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Pliki w innych formatach niż PDF zaleca się opatrzyć zewnętrznym podpisem XAdES.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6"/>
    <w:bookmarkEnd w:id="27"/>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8" w:name="_Toc59097635"/>
      <w:bookmarkStart w:id="29" w:name="_Toc123114818"/>
      <w:r w:rsidRPr="00606A4F">
        <w:rPr>
          <w:rFonts w:ascii="Fira Sans" w:hAnsi="Fira Sans" w:cs="Times New Roman"/>
          <w:szCs w:val="22"/>
        </w:rPr>
        <w:lastRenderedPageBreak/>
        <w:t>Wadium</w:t>
      </w:r>
      <w:bookmarkEnd w:id="28"/>
      <w:r w:rsidR="00C7260F" w:rsidRPr="00606A4F">
        <w:rPr>
          <w:rFonts w:ascii="Fira Sans" w:hAnsi="Fira Sans" w:cs="Times New Roman"/>
          <w:szCs w:val="22"/>
        </w:rPr>
        <w:t>.</w:t>
      </w:r>
      <w:bookmarkEnd w:id="29"/>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0" w:name="_Toc462216515"/>
      <w:bookmarkStart w:id="31" w:name="_Toc515437904"/>
      <w:bookmarkStart w:id="32" w:name="_Toc59097636"/>
      <w:bookmarkStart w:id="33" w:name="_Toc123114819"/>
      <w:r w:rsidRPr="00606A4F">
        <w:rPr>
          <w:rFonts w:ascii="Fira Sans" w:hAnsi="Fira Sans" w:cs="Times New Roman"/>
          <w:szCs w:val="22"/>
        </w:rPr>
        <w:t>Zabezpieczenie należytego wykonania umowy.</w:t>
      </w:r>
      <w:bookmarkEnd w:id="30"/>
      <w:bookmarkEnd w:id="31"/>
      <w:bookmarkEnd w:id="32"/>
      <w:bookmarkEnd w:id="33"/>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4"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4"/>
    </w:p>
    <w:p w14:paraId="0C1813D3" w14:textId="7046CC7B" w:rsidR="00FD45D3" w:rsidRPr="00953BD4"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953BD4">
        <w:rPr>
          <w:rFonts w:eastAsia="Calibri" w:cs="Calibri"/>
          <w:szCs w:val="22"/>
          <w:lang w:eastAsia="hi-IN" w:bidi="hi-IN"/>
        </w:rPr>
        <w:t xml:space="preserve">Ofertę  wraz  z  wymaganymi  załącznikami  należy  złożyć  w  terminie  do  dnia </w:t>
      </w:r>
      <w:r w:rsidR="00953BD4" w:rsidRPr="00953BD4">
        <w:rPr>
          <w:rFonts w:eastAsia="Calibri" w:cs="Calibri"/>
          <w:b/>
          <w:bCs/>
          <w:szCs w:val="22"/>
          <w:lang w:eastAsia="hi-IN" w:bidi="hi-IN"/>
        </w:rPr>
        <w:t>25 kwietnia</w:t>
      </w:r>
      <w:r w:rsidR="004D6BC1" w:rsidRPr="00953BD4">
        <w:rPr>
          <w:rFonts w:eastAsia="Calibri" w:cs="Calibri"/>
          <w:b/>
          <w:bCs/>
          <w:szCs w:val="22"/>
          <w:lang w:eastAsia="hi-IN" w:bidi="hi-IN"/>
        </w:rPr>
        <w:t xml:space="preserve"> </w:t>
      </w:r>
      <w:r w:rsidR="00387314" w:rsidRPr="00953BD4">
        <w:rPr>
          <w:rFonts w:eastAsia="Calibri" w:cs="Calibri"/>
          <w:b/>
          <w:bCs/>
          <w:szCs w:val="22"/>
          <w:lang w:eastAsia="hi-IN" w:bidi="hi-IN"/>
        </w:rPr>
        <w:t>2025 r.</w:t>
      </w:r>
      <w:r w:rsidRPr="00953BD4">
        <w:rPr>
          <w:rFonts w:eastAsia="Calibri" w:cs="Calibri"/>
          <w:b/>
          <w:bCs/>
          <w:szCs w:val="22"/>
          <w:lang w:eastAsia="hi-IN" w:bidi="hi-IN"/>
        </w:rPr>
        <w:t xml:space="preserve">, do godz. </w:t>
      </w:r>
      <w:r w:rsidR="00403C6A" w:rsidRPr="00953BD4">
        <w:rPr>
          <w:rFonts w:eastAsia="Calibri" w:cs="Calibri"/>
          <w:b/>
          <w:bCs/>
          <w:szCs w:val="22"/>
          <w:lang w:eastAsia="hi-IN" w:bidi="hi-IN"/>
        </w:rPr>
        <w:t>09:00</w:t>
      </w:r>
      <w:r w:rsidRPr="00953BD4">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5"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5"/>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6"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6"/>
    </w:p>
    <w:p w14:paraId="5E48CAEB" w14:textId="5C688FA0" w:rsidR="00FD45D3" w:rsidRPr="00953BD4" w:rsidRDefault="00FD45D3" w:rsidP="00606A4F">
      <w:pPr>
        <w:numPr>
          <w:ilvl w:val="0"/>
          <w:numId w:val="17"/>
        </w:numPr>
        <w:spacing w:line="360" w:lineRule="auto"/>
        <w:ind w:left="924" w:hanging="357"/>
        <w:rPr>
          <w:szCs w:val="22"/>
        </w:rPr>
      </w:pPr>
      <w:r w:rsidRPr="00606A4F">
        <w:rPr>
          <w:szCs w:val="22"/>
        </w:rPr>
        <w:t xml:space="preserve">Otwarcie ofert nastąpi w </w:t>
      </w:r>
      <w:r w:rsidRPr="00953BD4">
        <w:rPr>
          <w:szCs w:val="22"/>
        </w:rPr>
        <w:t xml:space="preserve">dniu </w:t>
      </w:r>
      <w:r w:rsidR="00953BD4" w:rsidRPr="00953BD4">
        <w:rPr>
          <w:b/>
          <w:bCs/>
          <w:szCs w:val="22"/>
        </w:rPr>
        <w:t>25 kwietnia</w:t>
      </w:r>
      <w:r w:rsidR="004D6BC1" w:rsidRPr="00953BD4">
        <w:rPr>
          <w:b/>
          <w:bCs/>
          <w:szCs w:val="22"/>
        </w:rPr>
        <w:t xml:space="preserve"> </w:t>
      </w:r>
      <w:r w:rsidR="00387314" w:rsidRPr="00953BD4">
        <w:rPr>
          <w:b/>
          <w:bCs/>
          <w:szCs w:val="22"/>
        </w:rPr>
        <w:t>2025 r.</w:t>
      </w:r>
      <w:r w:rsidRPr="00953BD4">
        <w:rPr>
          <w:b/>
          <w:bCs/>
          <w:szCs w:val="22"/>
        </w:rPr>
        <w:t xml:space="preserve">, o godzinie </w:t>
      </w:r>
      <w:r w:rsidR="00403C6A" w:rsidRPr="00953BD4">
        <w:rPr>
          <w:b/>
          <w:bCs/>
          <w:szCs w:val="22"/>
        </w:rPr>
        <w:t>10:00</w:t>
      </w:r>
      <w:r w:rsidR="00403C6A" w:rsidRPr="00953BD4">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lastRenderedPageBreak/>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7" w:name="_Toc123114822"/>
      <w:r w:rsidRPr="00606A4F">
        <w:rPr>
          <w:rFonts w:ascii="Fira Sans" w:hAnsi="Fira Sans" w:cs="Times New Roman"/>
          <w:szCs w:val="22"/>
        </w:rPr>
        <w:t>Sposób obliczenia ceny.</w:t>
      </w:r>
      <w:bookmarkEnd w:id="37"/>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8" w:name="_Toc123114823"/>
      <w:r w:rsidRPr="00606A4F">
        <w:rPr>
          <w:rFonts w:ascii="Fira Sans" w:hAnsi="Fira Sans" w:cs="Times New Roman"/>
          <w:szCs w:val="22"/>
        </w:rPr>
        <w:t>Opis kryteriów oceny ofert, wraz z podaniem wag tych kryteriów i sposobu oceny ofert</w:t>
      </w:r>
      <w:bookmarkEnd w:id="38"/>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r w:rsidRPr="00A71506">
        <w:rPr>
          <w:b/>
          <w:szCs w:val="22"/>
        </w:rPr>
        <w:lastRenderedPageBreak/>
        <w:t>Pc = (Cn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Pc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Cn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4D6BC1">
      <w:pPr>
        <w:spacing w:line="360" w:lineRule="auto"/>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9" w:name="_Toc123114824"/>
      <w:r w:rsidRPr="00606A4F">
        <w:rPr>
          <w:rFonts w:ascii="Fira Sans" w:hAnsi="Fira Sans" w:cs="Times New Roman"/>
          <w:szCs w:val="22"/>
        </w:rPr>
        <w:t>Projektowane postanowienia umowy w sprawie zamówienia publicznego, które zostaną wprowadzone do treści tej umowy.</w:t>
      </w:r>
      <w:bookmarkEnd w:id="39"/>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0"/>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 xml:space="preserve">eżeli wykonawca, którego oferta została wybrana jako najkorzystniejsza, uchyla się od zawarcia umowy w sprawie zamówienia publicznego lub nie wnosi wymaganego zabezpieczenia należytego wykonania umowy, zamawiający może </w:t>
      </w:r>
      <w:r w:rsidRPr="00606A4F">
        <w:rPr>
          <w:szCs w:val="22"/>
        </w:rPr>
        <w:lastRenderedPageBreak/>
        <w:t>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6"/>
      <w:r w:rsidRPr="00606A4F">
        <w:rPr>
          <w:rFonts w:ascii="Fira Sans" w:hAnsi="Fira Sans" w:cs="Times New Roman"/>
          <w:szCs w:val="22"/>
        </w:rPr>
        <w:t>Pouczenie o środkach ochrony prawnej przysługujących Wykonawcy.</w:t>
      </w:r>
      <w:bookmarkEnd w:id="41"/>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2" w:name="_Toc123114827"/>
      <w:r w:rsidRPr="00606A4F">
        <w:rPr>
          <w:rFonts w:ascii="Fira Sans" w:hAnsi="Fira Sans" w:cs="Times New Roman"/>
          <w:szCs w:val="22"/>
        </w:rPr>
        <w:t>Zakończenie postepowania.</w:t>
      </w:r>
      <w:bookmarkEnd w:id="42"/>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 xml:space="preserve">W przypadku unieważnienia postępowania o udzielenie zamówienia zamawiający niezwłocznie zawiadamia wykonawców, którzy ubiegali się o udzielenie zamówienia w tym postępowaniu, o wszczęciu kolejnego postępowania, które </w:t>
      </w:r>
      <w:r w:rsidRPr="00606A4F">
        <w:rPr>
          <w:szCs w:val="22"/>
        </w:rPr>
        <w:lastRenderedPageBreak/>
        <w:t>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3" w:name="_Toc123114828"/>
      <w:bookmarkStart w:id="44" w:name="_Toc349812574"/>
      <w:bookmarkStart w:id="45" w:name="_Toc448921758"/>
      <w:bookmarkStart w:id="46"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3"/>
    </w:p>
    <w:bookmarkEnd w:id="44"/>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4D6BC1"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w:t>
      </w:r>
      <w:r w:rsidRPr="004D6BC1">
        <w:rPr>
          <w:szCs w:val="22"/>
        </w:rPr>
        <w:t xml:space="preserve">Specjalistycznym im Janusza Korczaka w Słupsku Sp. z o.o. jest Pan </w:t>
      </w:r>
      <w:r w:rsidRPr="004D6BC1">
        <w:rPr>
          <w:b/>
          <w:bCs/>
          <w:szCs w:val="22"/>
        </w:rPr>
        <w:t>Tomasz Olczyk</w:t>
      </w:r>
      <w:r w:rsidRPr="004D6BC1">
        <w:rPr>
          <w:i/>
          <w:szCs w:val="22"/>
        </w:rPr>
        <w:t xml:space="preserve">, kontakt: </w:t>
      </w:r>
      <w:hyperlink r:id="rId32" w:history="1">
        <w:r w:rsidRPr="004D6BC1">
          <w:rPr>
            <w:b/>
            <w:bCs/>
            <w:color w:val="0000FF"/>
            <w:szCs w:val="22"/>
            <w:u w:val="single"/>
          </w:rPr>
          <w:t>iod@szpital.slupsk.pl</w:t>
        </w:r>
      </w:hyperlink>
      <w:r w:rsidRPr="004D6BC1">
        <w:rPr>
          <w:i/>
          <w:szCs w:val="22"/>
        </w:rPr>
        <w:t>, telefon</w:t>
      </w:r>
      <w:r w:rsidRPr="004D6BC1">
        <w:rPr>
          <w:szCs w:val="22"/>
        </w:rPr>
        <w:t xml:space="preserve">: </w:t>
      </w:r>
      <w:r w:rsidRPr="004D6BC1">
        <w:rPr>
          <w:i/>
          <w:iCs/>
          <w:szCs w:val="22"/>
        </w:rPr>
        <w:t>501-108-797</w:t>
      </w:r>
      <w:r w:rsidR="00A975DE" w:rsidRPr="004D6BC1">
        <w:rPr>
          <w:i/>
          <w:iCs/>
          <w:szCs w:val="22"/>
        </w:rPr>
        <w:t>;</w:t>
      </w:r>
    </w:p>
    <w:p w14:paraId="7E7EA153" w14:textId="77777777" w:rsidR="002554A0" w:rsidRPr="004D6BC1" w:rsidRDefault="002554A0" w:rsidP="00606A4F">
      <w:pPr>
        <w:numPr>
          <w:ilvl w:val="0"/>
          <w:numId w:val="13"/>
        </w:numPr>
        <w:spacing w:after="150" w:line="360" w:lineRule="auto"/>
        <w:ind w:left="1293" w:hanging="357"/>
        <w:contextualSpacing/>
        <w:rPr>
          <w:color w:val="00B0F0"/>
          <w:szCs w:val="22"/>
        </w:rPr>
      </w:pPr>
      <w:r w:rsidRPr="004D6BC1">
        <w:rPr>
          <w:szCs w:val="22"/>
        </w:rPr>
        <w:t>Pani/Pana dane osobowe przetwarzane będą na podstawie art. 6 ust. 1 lit. c</w:t>
      </w:r>
      <w:r w:rsidRPr="004D6BC1">
        <w:rPr>
          <w:i/>
          <w:szCs w:val="22"/>
        </w:rPr>
        <w:t xml:space="preserve"> </w:t>
      </w:r>
      <w:r w:rsidRPr="004D6BC1">
        <w:rPr>
          <w:szCs w:val="22"/>
        </w:rPr>
        <w:t xml:space="preserve">RODO w celu </w:t>
      </w:r>
      <w:r w:rsidRPr="004D6BC1">
        <w:rPr>
          <w:rFonts w:eastAsia="Calibri"/>
          <w:szCs w:val="22"/>
          <w:lang w:eastAsia="en-US"/>
        </w:rPr>
        <w:t>związanym z postępowaniem o udzielenie zamówienia publicznego, którego dotyczy niniejsza SWZ, prowadzonym w trybie podstawowym;</w:t>
      </w:r>
    </w:p>
    <w:p w14:paraId="5AFFE09E" w14:textId="6CFBB3DA" w:rsidR="002554A0" w:rsidRPr="004D6BC1" w:rsidRDefault="002554A0" w:rsidP="00606A4F">
      <w:pPr>
        <w:numPr>
          <w:ilvl w:val="0"/>
          <w:numId w:val="13"/>
        </w:numPr>
        <w:spacing w:after="150" w:line="360" w:lineRule="auto"/>
        <w:ind w:left="1293" w:hanging="357"/>
        <w:contextualSpacing/>
        <w:rPr>
          <w:color w:val="00B0F0"/>
          <w:szCs w:val="22"/>
        </w:rPr>
      </w:pPr>
      <w:r w:rsidRPr="004D6BC1">
        <w:rPr>
          <w:szCs w:val="22"/>
        </w:rPr>
        <w:t>odbiorcami Pani/Pana danych osobowych będą osoby lub podmioty, którym udostępniona zostanie dokumentacja postępowania w oparciu o art. 18 oraz art. 74 ust. 1 i 2 ustawy z dnia 11 września 2019 r. - Prawo zamówień publicznych (</w:t>
      </w:r>
      <w:r w:rsidR="00852725" w:rsidRPr="004D6BC1">
        <w:rPr>
          <w:bCs/>
          <w:szCs w:val="22"/>
        </w:rPr>
        <w:t>t.j. Dz. U. z 2024 r. poz. 1320</w:t>
      </w:r>
      <w:r w:rsidRPr="004D6BC1">
        <w:rPr>
          <w:szCs w:val="22"/>
        </w:rPr>
        <w:t>)</w:t>
      </w:r>
      <w:r w:rsidR="00A975DE" w:rsidRPr="004D6BC1">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4D6BC1">
        <w:rPr>
          <w:szCs w:val="22"/>
        </w:rPr>
        <w:t xml:space="preserve">Pani/Pana dane osobowe będą przechowywane, zgodnie z art. 78 ust. 1 </w:t>
      </w:r>
      <w:r w:rsidR="00577B38" w:rsidRPr="004D6BC1">
        <w:rPr>
          <w:szCs w:val="22"/>
        </w:rPr>
        <w:t>PZP</w:t>
      </w:r>
      <w:r w:rsidRPr="004D6BC1">
        <w:rPr>
          <w:szCs w:val="22"/>
        </w:rPr>
        <w:t>, przez okres 4 lat od dnia zakończenia postępowania o udzielenie zamówienia, a jeżeli czas trwania umowy przekracza 4 lata</w:t>
      </w:r>
      <w:r w:rsidRPr="00606A4F">
        <w:rPr>
          <w:szCs w:val="22"/>
        </w:rPr>
        <w:t>,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lastRenderedPageBreak/>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7" w:name="_Toc123114829"/>
      <w:r w:rsidRPr="00606A4F">
        <w:rPr>
          <w:rFonts w:ascii="Fira Sans" w:hAnsi="Fira Sans" w:cs="Times New Roman"/>
          <w:szCs w:val="22"/>
        </w:rPr>
        <w:t>Wykaz załączników do niniejszych IDW.</w:t>
      </w:r>
      <w:bookmarkEnd w:id="45"/>
      <w:bookmarkEnd w:id="47"/>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4D6BC1">
        <w:tc>
          <w:tcPr>
            <w:tcW w:w="709" w:type="dxa"/>
            <w:vAlign w:val="center"/>
          </w:tcPr>
          <w:bookmarkEnd w:id="46"/>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4D6BC1">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4D6BC1">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4D6BC1">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2F822845" w:rsidR="00FD45D3" w:rsidRPr="00606A4F" w:rsidRDefault="00025B62" w:rsidP="00606A4F">
            <w:pPr>
              <w:spacing w:before="240" w:line="360" w:lineRule="auto"/>
              <w:textAlignment w:val="top"/>
              <w:rPr>
                <w:szCs w:val="22"/>
              </w:rPr>
            </w:pPr>
            <w:r w:rsidRPr="00606A4F">
              <w:rPr>
                <w:szCs w:val="22"/>
              </w:rPr>
              <w:t xml:space="preserve">Oświadczenia o niepodleganiu wykluczeniu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60A2"/>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135"/>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5FE"/>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A35"/>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0B3D"/>
    <w:rsid w:val="004615F4"/>
    <w:rsid w:val="00463CA6"/>
    <w:rsid w:val="00464757"/>
    <w:rsid w:val="004668EB"/>
    <w:rsid w:val="00466BF7"/>
    <w:rsid w:val="00472205"/>
    <w:rsid w:val="00474227"/>
    <w:rsid w:val="0048024C"/>
    <w:rsid w:val="00480780"/>
    <w:rsid w:val="00481885"/>
    <w:rsid w:val="0048329E"/>
    <w:rsid w:val="00483C97"/>
    <w:rsid w:val="004850C9"/>
    <w:rsid w:val="00485A02"/>
    <w:rsid w:val="004879E6"/>
    <w:rsid w:val="0049114A"/>
    <w:rsid w:val="00491496"/>
    <w:rsid w:val="00492523"/>
    <w:rsid w:val="0049258A"/>
    <w:rsid w:val="00492ABE"/>
    <w:rsid w:val="004937AB"/>
    <w:rsid w:val="0049387D"/>
    <w:rsid w:val="004956C7"/>
    <w:rsid w:val="004A08E0"/>
    <w:rsid w:val="004A0C85"/>
    <w:rsid w:val="004A0F68"/>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D6BC1"/>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74E"/>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49D8"/>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4F1F"/>
    <w:rsid w:val="00665122"/>
    <w:rsid w:val="00665A5B"/>
    <w:rsid w:val="00670899"/>
    <w:rsid w:val="00671383"/>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0726"/>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2745"/>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53E"/>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245F"/>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56D75"/>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5C43"/>
    <w:rsid w:val="008E6B10"/>
    <w:rsid w:val="008E786D"/>
    <w:rsid w:val="008F2B8A"/>
    <w:rsid w:val="008F6E9C"/>
    <w:rsid w:val="00900169"/>
    <w:rsid w:val="00901084"/>
    <w:rsid w:val="00901D97"/>
    <w:rsid w:val="009032C2"/>
    <w:rsid w:val="00904719"/>
    <w:rsid w:val="00906111"/>
    <w:rsid w:val="00906736"/>
    <w:rsid w:val="00910980"/>
    <w:rsid w:val="00911935"/>
    <w:rsid w:val="009120E2"/>
    <w:rsid w:val="00913C51"/>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3BD4"/>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865BD"/>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19BE"/>
    <w:rsid w:val="00A63A0A"/>
    <w:rsid w:val="00A64968"/>
    <w:rsid w:val="00A667BF"/>
    <w:rsid w:val="00A71506"/>
    <w:rsid w:val="00A7223B"/>
    <w:rsid w:val="00A726C2"/>
    <w:rsid w:val="00A72BE7"/>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65953"/>
    <w:rsid w:val="00B71D2B"/>
    <w:rsid w:val="00B73719"/>
    <w:rsid w:val="00B745FD"/>
    <w:rsid w:val="00B762E9"/>
    <w:rsid w:val="00B763DC"/>
    <w:rsid w:val="00B76984"/>
    <w:rsid w:val="00B76A82"/>
    <w:rsid w:val="00B8208A"/>
    <w:rsid w:val="00B839B2"/>
    <w:rsid w:val="00B85856"/>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C6F82"/>
    <w:rsid w:val="00BD2916"/>
    <w:rsid w:val="00BD3B37"/>
    <w:rsid w:val="00BD4879"/>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603C"/>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4FBF"/>
    <w:rsid w:val="00E65B2A"/>
    <w:rsid w:val="00E67219"/>
    <w:rsid w:val="00E726F7"/>
    <w:rsid w:val="00E7471E"/>
    <w:rsid w:val="00E77132"/>
    <w:rsid w:val="00E803C9"/>
    <w:rsid w:val="00E8170B"/>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B68EA"/>
    <w:rsid w:val="00EC48C3"/>
    <w:rsid w:val="00EC5177"/>
    <w:rsid w:val="00EC7B17"/>
    <w:rsid w:val="00EC7BAE"/>
    <w:rsid w:val="00ED1E4F"/>
    <w:rsid w:val="00ED32A5"/>
    <w:rsid w:val="00ED4643"/>
    <w:rsid w:val="00ED4788"/>
    <w:rsid w:val="00ED5062"/>
    <w:rsid w:val="00ED52A9"/>
    <w:rsid w:val="00ED551E"/>
    <w:rsid w:val="00ED67F2"/>
    <w:rsid w:val="00EE1264"/>
    <w:rsid w:val="00EE1E47"/>
    <w:rsid w:val="00EE258C"/>
    <w:rsid w:val="00EE41B9"/>
    <w:rsid w:val="00EE6EDA"/>
    <w:rsid w:val="00EE7769"/>
    <w:rsid w:val="00EE7A2A"/>
    <w:rsid w:val="00EF080C"/>
    <w:rsid w:val="00EF452A"/>
    <w:rsid w:val="00EF4EF0"/>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87B"/>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2ED"/>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18</Pages>
  <Words>4513</Words>
  <Characters>30993</Characters>
  <Application>Microsoft Office Word</Application>
  <DocSecurity>0</DocSecurity>
  <Lines>258</Lines>
  <Paragraphs>70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35436</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94</cp:revision>
  <cp:lastPrinted>2022-12-28T06:52:00Z</cp:lastPrinted>
  <dcterms:created xsi:type="dcterms:W3CDTF">2023-01-10T13:22:00Z</dcterms:created>
  <dcterms:modified xsi:type="dcterms:W3CDTF">2025-04-16T08:46:00Z</dcterms:modified>
</cp:coreProperties>
</file>