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</w:t>
            </w:r>
            <w:r w:rsidDel="00000000" w:rsidR="00000000" w:rsidRPr="00000000">
              <w:rPr>
                <w:rtl w:val="0"/>
              </w:rPr>
              <w:t xml:space="preserve">Dz. U. z 2024 r. poz. 1320.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Orzyszu”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H8ceRpmzfXSd0G3LUVoqJyWzRQ==">CgMxLjA4AGojChRzdWdnZXN0LnoxNjVzYXB0d2g5dxILS2Fyb2wgTm93YWtyITF6aVo1d0x0THFLd3dINHF0cThJaDB0al82elV1VFNZVg==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