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Dz.U. z </w:t>
            </w:r>
            <w:r w:rsidDel="00000000" w:rsidR="00000000" w:rsidRPr="00000000">
              <w:rPr>
                <w:rtl w:val="0"/>
              </w:rPr>
              <w:t xml:space="preserve">2023 </w:t>
            </w:r>
            <w:r w:rsidDel="00000000" w:rsidR="00000000" w:rsidRPr="00000000">
              <w:rPr>
                <w:color w:val="000000"/>
                <w:rtl w:val="0"/>
              </w:rPr>
              <w:t xml:space="preserve">poz.</w:t>
            </w:r>
            <w:r w:rsidDel="00000000" w:rsidR="00000000" w:rsidRPr="00000000">
              <w:rPr>
                <w:rtl w:val="0"/>
              </w:rPr>
              <w:t xml:space="preserve"> 1605 z późn. zm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budynku wielorodzinnego w gminie Elbląg“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GlH4e9G0G+T4Q79UajK52dcWkA==">CgMxLjA4AGojChRzdWdnZXN0LjFtYThjaXhvM2IzNRILS2Fyb2wgTm93YWtyITExT3R2Nm9jWkJvRlQ1NTZNSFJqeHRFQXprcklMTk9TNA==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