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1B8918D6"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1E4483">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54A36AC1"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4877B7">
        <w:rPr>
          <w:rFonts w:asciiTheme="minorHAnsi" w:hAnsiTheme="minorHAnsi" w:cstheme="minorHAnsi"/>
          <w:bCs/>
          <w:kern w:val="0"/>
          <w:lang w:eastAsia="pl-PL" w:bidi="ar-SA"/>
        </w:rPr>
        <w:t>1</w:t>
      </w:r>
      <w:r w:rsidR="00670A62">
        <w:rPr>
          <w:rFonts w:asciiTheme="minorHAnsi" w:hAnsiTheme="minorHAnsi" w:cstheme="minorHAnsi"/>
          <w:bCs/>
          <w:kern w:val="0"/>
          <w:lang w:eastAsia="pl-PL" w:bidi="ar-SA"/>
        </w:rPr>
        <w:t>5</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1E4483">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 xml:space="preserve"> na realizację zamówienia pn.: „</w:t>
      </w:r>
      <w:r w:rsidR="0068452B">
        <w:rPr>
          <w:rFonts w:asciiTheme="minorHAnsi" w:hAnsiTheme="minorHAnsi" w:cstheme="minorHAnsi"/>
          <w:bCs/>
          <w:kern w:val="0"/>
          <w:lang w:eastAsia="pl-PL" w:bidi="ar-SA"/>
        </w:rPr>
        <w:t xml:space="preserve">Przebudowa drogi powiatowej Nr </w:t>
      </w:r>
      <w:r w:rsidR="00670A62">
        <w:rPr>
          <w:rFonts w:asciiTheme="minorHAnsi" w:hAnsiTheme="minorHAnsi" w:cstheme="minorHAnsi"/>
          <w:bCs/>
          <w:kern w:val="0"/>
          <w:lang w:eastAsia="pl-PL" w:bidi="ar-SA"/>
        </w:rPr>
        <w:t xml:space="preserve"> 1495N relacji Ryn Reszelski-Kolno na odcinku od km 5+425 do km 6+385”,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2E3E4EDA"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Zamawiający zleca, a Wykonawca przyjmuje do wykonania</w:t>
      </w:r>
      <w:r w:rsidR="006F66B6">
        <w:rPr>
          <w:rFonts w:asciiTheme="minorHAnsi" w:hAnsiTheme="minorHAnsi" w:cstheme="minorHAnsi"/>
          <w:bCs/>
          <w:kern w:val="0"/>
          <w:lang w:eastAsia="pl-PL" w:bidi="ar-SA"/>
        </w:rPr>
        <w:t xml:space="preserve"> z należytą starannością </w:t>
      </w:r>
      <w:r w:rsidRPr="00BB2F2E">
        <w:rPr>
          <w:rFonts w:asciiTheme="minorHAnsi" w:hAnsiTheme="minorHAnsi" w:cstheme="minorHAnsi"/>
          <w:bCs/>
          <w:kern w:val="0"/>
          <w:lang w:eastAsia="pl-PL" w:bidi="ar-SA"/>
        </w:rPr>
        <w:t xml:space="preserve">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DA43FD">
        <w:rPr>
          <w:rFonts w:asciiTheme="minorHAnsi" w:hAnsiTheme="minorHAnsi" w:cstheme="minorHAnsi"/>
          <w:bCs/>
          <w:kern w:val="0"/>
          <w:lang w:eastAsia="pl-PL" w:bidi="ar-SA"/>
        </w:rPr>
        <w:t>przebudową drogi powiatowej Nr 1</w:t>
      </w:r>
      <w:r w:rsidR="00670A62">
        <w:rPr>
          <w:rFonts w:asciiTheme="minorHAnsi" w:hAnsiTheme="minorHAnsi" w:cstheme="minorHAnsi"/>
          <w:bCs/>
          <w:kern w:val="0"/>
          <w:lang w:eastAsia="pl-PL" w:bidi="ar-SA"/>
        </w:rPr>
        <w:t>495N relacji Ryn Reszelski- Kolno na odcinku od km 5+425 do km 6+385.</w:t>
      </w:r>
      <w:r w:rsidR="0084683A">
        <w:rPr>
          <w:rFonts w:asciiTheme="minorHAnsi" w:hAnsiTheme="minorHAnsi" w:cstheme="minorHAnsi"/>
          <w:bCs/>
          <w:kern w:val="0"/>
          <w:lang w:eastAsia="pl-PL" w:bidi="ar-SA"/>
        </w:rPr>
        <w:t xml:space="preserve"> </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3AF3D02D" w:rsidR="00BD1155" w:rsidRPr="00BB2F2E" w:rsidRDefault="00BD1155">
      <w:pPr>
        <w:pStyle w:val="Akapitzlist"/>
        <w:numPr>
          <w:ilvl w:val="0"/>
          <w:numId w:val="42"/>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Wykonawcy;</w:t>
      </w:r>
    </w:p>
    <w:p w14:paraId="1885E53E" w14:textId="62361F1B" w:rsidR="00D8730B" w:rsidRPr="00BB2F2E"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16F25CB5" w:rsidR="00D8730B"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F6583E">
        <w:rPr>
          <w:rFonts w:asciiTheme="minorHAnsi" w:hAnsiTheme="minorHAnsi" w:cs="Tahoma"/>
          <w:szCs w:val="24"/>
        </w:rPr>
        <w:t>6</w:t>
      </w:r>
      <w:r w:rsidRPr="00BB2F2E">
        <w:rPr>
          <w:rFonts w:asciiTheme="minorHAnsi" w:hAnsiTheme="minorHAnsi" w:cs="Tahoma"/>
          <w:szCs w:val="24"/>
        </w:rPr>
        <w:t xml:space="preserve"> do SWZ.</w:t>
      </w:r>
    </w:p>
    <w:p w14:paraId="693938D4" w14:textId="6B481B95" w:rsidR="006F66B6"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dokumentacji projektowej</w:t>
      </w:r>
      <w:r w:rsidR="00AC386C">
        <w:rPr>
          <w:rFonts w:asciiTheme="minorHAnsi" w:hAnsiTheme="minorHAnsi" w:cs="Tahoma"/>
          <w:szCs w:val="24"/>
        </w:rPr>
        <w:t xml:space="preserve"> – załącznik Nr </w:t>
      </w:r>
      <w:r w:rsidR="00F6583E">
        <w:rPr>
          <w:rFonts w:asciiTheme="minorHAnsi" w:hAnsiTheme="minorHAnsi" w:cs="Tahoma"/>
          <w:szCs w:val="24"/>
        </w:rPr>
        <w:t>7</w:t>
      </w:r>
      <w:r w:rsidR="00AC386C">
        <w:rPr>
          <w:rFonts w:asciiTheme="minorHAnsi" w:hAnsiTheme="minorHAnsi" w:cs="Tahoma"/>
          <w:szCs w:val="24"/>
        </w:rPr>
        <w:t xml:space="preserve"> do SWZ</w:t>
      </w:r>
      <w:r>
        <w:rPr>
          <w:rFonts w:asciiTheme="minorHAnsi" w:hAnsiTheme="minorHAnsi" w:cs="Tahoma"/>
          <w:szCs w:val="24"/>
        </w:rPr>
        <w:t>,</w:t>
      </w:r>
    </w:p>
    <w:p w14:paraId="549B0148" w14:textId="37FDB790" w:rsidR="006F66B6" w:rsidRPr="00BB2F2E"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przedmiarze robót</w:t>
      </w:r>
      <w:r w:rsidR="0084683A">
        <w:rPr>
          <w:rFonts w:asciiTheme="minorHAnsi" w:hAnsiTheme="minorHAnsi" w:cs="Tahoma"/>
          <w:szCs w:val="24"/>
        </w:rPr>
        <w:t xml:space="preserve"> (pomocniczo)</w:t>
      </w:r>
      <w:r w:rsidR="007D76AB">
        <w:rPr>
          <w:rFonts w:asciiTheme="minorHAnsi" w:hAnsiTheme="minorHAnsi" w:cs="Tahoma"/>
          <w:szCs w:val="24"/>
        </w:rPr>
        <w:t xml:space="preserve"> </w:t>
      </w:r>
      <w:r w:rsidR="00AC386C">
        <w:rPr>
          <w:rFonts w:asciiTheme="minorHAnsi" w:hAnsiTheme="minorHAnsi" w:cs="Tahoma"/>
          <w:szCs w:val="24"/>
        </w:rPr>
        <w:t xml:space="preserve">- Załącznik Nr </w:t>
      </w:r>
      <w:r w:rsidR="00F6583E">
        <w:rPr>
          <w:rFonts w:asciiTheme="minorHAnsi" w:hAnsiTheme="minorHAnsi" w:cs="Tahoma"/>
          <w:szCs w:val="24"/>
        </w:rPr>
        <w:t>5</w:t>
      </w:r>
      <w:r w:rsidR="00AC386C">
        <w:rPr>
          <w:rFonts w:asciiTheme="minorHAnsi" w:hAnsiTheme="minorHAnsi" w:cs="Tahoma"/>
          <w:szCs w:val="24"/>
        </w:rPr>
        <w:t xml:space="preserve"> do SWZ</w:t>
      </w:r>
      <w:r w:rsidR="004877B7">
        <w:rPr>
          <w:rFonts w:asciiTheme="minorHAnsi" w:hAnsiTheme="minorHAnsi" w:cs="Tahoma"/>
          <w:szCs w:val="24"/>
        </w:rPr>
        <w:t>,</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pPr>
        <w:pStyle w:val="Bezodstpw"/>
        <w:numPr>
          <w:ilvl w:val="0"/>
          <w:numId w:val="44"/>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pPr>
        <w:pStyle w:val="Bezodstpw"/>
        <w:numPr>
          <w:ilvl w:val="0"/>
          <w:numId w:val="44"/>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pPr>
        <w:pStyle w:val="Bezodstpw"/>
        <w:numPr>
          <w:ilvl w:val="0"/>
          <w:numId w:val="44"/>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pPr>
        <w:pStyle w:val="Bezodstpw"/>
        <w:numPr>
          <w:ilvl w:val="0"/>
          <w:numId w:val="44"/>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pPr>
        <w:pStyle w:val="Bezodstpw"/>
        <w:numPr>
          <w:ilvl w:val="0"/>
          <w:numId w:val="44"/>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pPr>
        <w:pStyle w:val="Bezodstpw"/>
        <w:numPr>
          <w:ilvl w:val="0"/>
          <w:numId w:val="43"/>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55999528" w:rsidR="003108CE" w:rsidRDefault="000A62E4">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Przedmiot umowy zostanie zrealizowany w ciągu</w:t>
      </w:r>
      <w:r w:rsidR="003C031F">
        <w:rPr>
          <w:rFonts w:asciiTheme="minorHAnsi" w:hAnsiTheme="minorHAnsi" w:cstheme="minorHAnsi"/>
          <w:bCs/>
          <w:kern w:val="0"/>
          <w:lang w:eastAsia="pl-PL" w:bidi="ar-SA"/>
        </w:rPr>
        <w:t xml:space="preserve"> </w:t>
      </w:r>
      <w:r w:rsidR="001E4483">
        <w:rPr>
          <w:rFonts w:asciiTheme="minorHAnsi" w:hAnsiTheme="minorHAnsi" w:cstheme="minorHAnsi"/>
          <w:bCs/>
          <w:kern w:val="0"/>
          <w:lang w:eastAsia="pl-PL" w:bidi="ar-SA"/>
        </w:rPr>
        <w:t>180</w:t>
      </w:r>
      <w:r w:rsidR="007D76AB">
        <w:rPr>
          <w:rFonts w:asciiTheme="minorHAnsi" w:hAnsiTheme="minorHAnsi" w:cstheme="minorHAnsi"/>
          <w:bCs/>
          <w:kern w:val="0"/>
          <w:lang w:eastAsia="pl-PL" w:bidi="ar-SA"/>
        </w:rPr>
        <w:t xml:space="preserve"> dni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od dnia następnego po</w:t>
      </w:r>
      <w:r w:rsidR="003C031F">
        <w:rPr>
          <w:rFonts w:asciiTheme="minorHAnsi" w:hAnsiTheme="minorHAnsi" w:cstheme="minorHAnsi"/>
          <w:bCs/>
          <w:kern w:val="0"/>
          <w:lang w:eastAsia="pl-PL" w:bidi="ar-SA"/>
        </w:rPr>
        <w:t xml:space="preserve"> zawarciu umowy</w:t>
      </w:r>
      <w:r w:rsidR="00414457" w:rsidRPr="00BB2F2E">
        <w:rPr>
          <w:rFonts w:asciiTheme="minorHAnsi" w:hAnsiTheme="minorHAnsi" w:cstheme="minorHAnsi"/>
          <w:bCs/>
          <w:kern w:val="0"/>
          <w:lang w:eastAsia="pl-PL" w:bidi="ar-SA"/>
        </w:rPr>
        <w:t>.</w:t>
      </w:r>
    </w:p>
    <w:p w14:paraId="07E47683" w14:textId="03EB6E1C" w:rsidR="00ED168C" w:rsidRPr="00BB2F2E" w:rsidRDefault="00BB2F2E">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33BDC861"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w:t>
      </w:r>
      <w:r w:rsidR="003C031F">
        <w:rPr>
          <w:rFonts w:asciiTheme="minorHAnsi" w:hAnsiTheme="minorHAnsi" w:cs="Tahoma"/>
          <w:kern w:val="0"/>
          <w:lang w:eastAsia="pl-PL" w:bidi="ar-SA"/>
        </w:rPr>
        <w:t xml:space="preserve"> ryczałtowe</w:t>
      </w:r>
      <w:r w:rsidRPr="000A62E4">
        <w:rPr>
          <w:rFonts w:asciiTheme="minorHAnsi" w:hAnsiTheme="minorHAnsi" w:cs="Tahoma"/>
          <w:kern w:val="0"/>
          <w:lang w:eastAsia="pl-PL" w:bidi="ar-SA"/>
        </w:rPr>
        <w:t xml:space="preserve">, które obejmuje wszystkie koszty związane </w:t>
      </w:r>
      <w:r w:rsidR="003C031F">
        <w:rPr>
          <w:rFonts w:asciiTheme="minorHAnsi" w:hAnsiTheme="minorHAnsi" w:cs="Tahoma"/>
          <w:kern w:val="0"/>
          <w:lang w:eastAsia="pl-PL" w:bidi="ar-SA"/>
        </w:rPr>
        <w:t xml:space="preserve">              </w:t>
      </w:r>
      <w:r w:rsidRPr="000A62E4">
        <w:rPr>
          <w:rFonts w:asciiTheme="minorHAnsi" w:hAnsiTheme="minorHAnsi" w:cs="Tahoma"/>
          <w:kern w:val="0"/>
          <w:lang w:eastAsia="pl-PL" w:bidi="ar-SA"/>
        </w:rPr>
        <w:t>z wykonaniem przedmiotu umowy i należności przysługujące Wykonawcy.</w:t>
      </w:r>
    </w:p>
    <w:p w14:paraId="2C9FAABD" w14:textId="6145E97D" w:rsid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w:t>
      </w:r>
      <w:r w:rsidR="003C031F">
        <w:rPr>
          <w:rFonts w:asciiTheme="minorHAnsi" w:hAnsiTheme="minorHAnsi" w:cs="Tahoma"/>
          <w:kern w:val="0"/>
          <w:lang w:eastAsia="pl-PL" w:bidi="ar-SA"/>
        </w:rPr>
        <w:t xml:space="preserve">ryczałtowego </w:t>
      </w:r>
      <w:r w:rsidRPr="000A62E4">
        <w:rPr>
          <w:rFonts w:asciiTheme="minorHAnsi" w:hAnsiTheme="minorHAnsi" w:cs="Tahoma"/>
          <w:kern w:val="0"/>
          <w:lang w:eastAsia="pl-PL" w:bidi="ar-SA"/>
        </w:rPr>
        <w:t xml:space="preserve">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6BA658DD" w14:textId="77777777" w:rsidR="003C031F" w:rsidRPr="0062379F" w:rsidRDefault="003C031F" w:rsidP="003C031F">
      <w:pPr>
        <w:widowControl w:val="0"/>
        <w:numPr>
          <w:ilvl w:val="0"/>
          <w:numId w:val="2"/>
        </w:numPr>
        <w:tabs>
          <w:tab w:val="clear" w:pos="360"/>
          <w:tab w:val="num" w:pos="567"/>
        </w:tabs>
        <w:spacing w:line="360" w:lineRule="auto"/>
        <w:ind w:left="567" w:hanging="567"/>
        <w:jc w:val="both"/>
        <w:rPr>
          <w:rFonts w:ascii="Calibri" w:hAnsi="Calibri" w:cs="Calibri"/>
          <w:bCs/>
          <w:color w:val="000000"/>
        </w:rPr>
      </w:pPr>
      <w:r w:rsidRPr="00785A26">
        <w:rPr>
          <w:rFonts w:ascii="Calibri" w:hAnsi="Calibri" w:cs="Calibri"/>
          <w:bCs/>
          <w:color w:val="000000"/>
        </w:rPr>
        <w:t xml:space="preserve">Wynagrodzenie </w:t>
      </w:r>
      <w:r>
        <w:rPr>
          <w:rFonts w:ascii="Calibri" w:hAnsi="Calibri" w:cs="Calibri"/>
          <w:bCs/>
          <w:color w:val="000000"/>
        </w:rPr>
        <w:t>W</w:t>
      </w:r>
      <w:r w:rsidRPr="00785A26">
        <w:rPr>
          <w:rFonts w:ascii="Calibri" w:hAnsi="Calibri" w:cs="Calibri"/>
          <w:bCs/>
          <w:color w:val="000000"/>
        </w:rPr>
        <w:t>ykonawcy płatne będzie</w:t>
      </w:r>
      <w:r>
        <w:rPr>
          <w:rFonts w:ascii="Calibri" w:hAnsi="Calibri" w:cs="Calibri"/>
          <w:bCs/>
          <w:color w:val="000000"/>
        </w:rPr>
        <w:t xml:space="preserve"> </w:t>
      </w:r>
      <w:r w:rsidRPr="0062379F">
        <w:rPr>
          <w:rFonts w:ascii="Calibri" w:hAnsi="Calibri" w:cs="Calibri"/>
          <w:color w:val="000000"/>
        </w:rPr>
        <w:t xml:space="preserve">po zakończeniu i odbiorze robót budowlanych objętych przedmiotem umowy. </w:t>
      </w:r>
    </w:p>
    <w:p w14:paraId="67ABFB49" w14:textId="77777777" w:rsidR="003C031F" w:rsidRPr="00402058" w:rsidRDefault="003C031F" w:rsidP="003C031F">
      <w:pPr>
        <w:pStyle w:val="Akapitzlist"/>
        <w:widowControl w:val="0"/>
        <w:numPr>
          <w:ilvl w:val="0"/>
          <w:numId w:val="2"/>
        </w:numPr>
        <w:tabs>
          <w:tab w:val="clear" w:pos="360"/>
          <w:tab w:val="num" w:pos="567"/>
        </w:tabs>
        <w:spacing w:line="360" w:lineRule="auto"/>
        <w:ind w:left="567" w:hanging="567"/>
        <w:rPr>
          <w:rFonts w:asciiTheme="minorHAnsi" w:hAnsiTheme="minorHAnsi" w:cstheme="minorHAnsi"/>
          <w:color w:val="000000"/>
        </w:rPr>
      </w:pPr>
      <w:r w:rsidRPr="00402058">
        <w:rPr>
          <w:rFonts w:asciiTheme="minorHAnsi" w:hAnsiTheme="minorHAnsi" w:cstheme="minorHAnsi"/>
          <w:color w:val="000000"/>
        </w:rPr>
        <w:t xml:space="preserve">Wykonawca oświadcza, że wycenił wszystkie elementy niezbędne do prawidłowego wykonania umowy, w związku z tym wyklucza się jakiekolwiek roszczenia Wykonawcy związane z nieprawidłowym skalkulowaniem ceny lub pominięciem pewnych </w:t>
      </w:r>
      <w:r w:rsidRPr="00402058">
        <w:rPr>
          <w:rFonts w:asciiTheme="minorHAnsi" w:hAnsiTheme="minorHAnsi" w:cstheme="minorHAnsi"/>
          <w:color w:val="000000"/>
        </w:rPr>
        <w:lastRenderedPageBreak/>
        <w:t>elementów niezbędnych do prawidłowego wykonania umowy.</w:t>
      </w:r>
    </w:p>
    <w:p w14:paraId="4BD41A07" w14:textId="77777777" w:rsidR="003C031F" w:rsidRPr="00402058" w:rsidRDefault="003C031F" w:rsidP="003C031F">
      <w:pPr>
        <w:pStyle w:val="Akapitzlist"/>
        <w:numPr>
          <w:ilvl w:val="0"/>
          <w:numId w:val="2"/>
        </w:numPr>
        <w:tabs>
          <w:tab w:val="clear" w:pos="360"/>
          <w:tab w:val="num" w:pos="567"/>
        </w:tabs>
        <w:spacing w:line="360" w:lineRule="auto"/>
        <w:ind w:left="567" w:hanging="567"/>
        <w:jc w:val="both"/>
        <w:rPr>
          <w:rFonts w:asciiTheme="minorHAnsi" w:hAnsiTheme="minorHAnsi" w:cstheme="minorHAnsi"/>
          <w:szCs w:val="24"/>
        </w:rPr>
      </w:pPr>
      <w:r w:rsidRPr="00402058">
        <w:rPr>
          <w:rFonts w:asciiTheme="minorHAnsi" w:hAnsiTheme="minorHAnsi" w:cstheme="minorHAnsi"/>
          <w:szCs w:val="24"/>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w:t>
      </w:r>
      <w:r w:rsidRPr="00234CA6">
        <w:rPr>
          <w:rFonts w:asciiTheme="minorHAnsi" w:eastAsia="MS Mincho" w:hAnsiTheme="minorHAnsi" w:cstheme="minorHAnsi"/>
          <w:bCs/>
          <w:kern w:val="3"/>
        </w:rPr>
        <w:lastRenderedPageBreak/>
        <w:t xml:space="preserve">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521B4543"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4877B7">
        <w:rPr>
          <w:rFonts w:asciiTheme="minorHAnsi" w:eastAsia="MS Mincho" w:hAnsiTheme="minorHAnsi" w:cstheme="minorHAnsi"/>
          <w:bCs/>
          <w:kern w:val="3"/>
        </w:rPr>
        <w:t>3</w:t>
      </w:r>
      <w:r w:rsidRPr="00234CA6">
        <w:rPr>
          <w:rFonts w:asciiTheme="minorHAnsi" w:eastAsia="MS Mincho" w:hAnsiTheme="minorHAnsi" w:cstheme="minorHAnsi"/>
          <w:bCs/>
          <w:kern w:val="3"/>
        </w:rPr>
        <w:t xml:space="preserve"> r., poz. 1</w:t>
      </w:r>
      <w:r w:rsidR="004877B7">
        <w:rPr>
          <w:rFonts w:asciiTheme="minorHAnsi" w:eastAsia="MS Mincho" w:hAnsiTheme="minorHAnsi" w:cstheme="minorHAnsi"/>
          <w:bCs/>
          <w:kern w:val="3"/>
        </w:rPr>
        <w:t xml:space="preserve">570 z </w:t>
      </w:r>
      <w:proofErr w:type="spellStart"/>
      <w:r w:rsidR="004877B7">
        <w:rPr>
          <w:rFonts w:asciiTheme="minorHAnsi" w:eastAsia="MS Mincho" w:hAnsiTheme="minorHAnsi" w:cstheme="minorHAnsi"/>
          <w:bCs/>
          <w:kern w:val="3"/>
        </w:rPr>
        <w:t>póżn</w:t>
      </w:r>
      <w:proofErr w:type="spellEnd"/>
      <w:r w:rsidR="004877B7">
        <w:rPr>
          <w:rFonts w:asciiTheme="minorHAnsi" w:eastAsia="MS Mincho" w:hAnsiTheme="minorHAnsi" w:cstheme="minorHAnsi"/>
          <w:bCs/>
          <w:kern w:val="3"/>
        </w:rPr>
        <w:t>. Zm.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Zamawiający umożliwia przesłanie faktury elektronicznej za pośrednictwem platformy elektronicznego fakturowania </w:t>
      </w:r>
      <w:r w:rsidRPr="00ED3A62">
        <w:rPr>
          <w:rFonts w:asciiTheme="minorHAnsi" w:eastAsia="MS Mincho" w:hAnsiTheme="minorHAnsi" w:cstheme="minorHAnsi"/>
          <w:bCs/>
          <w:kern w:val="3"/>
        </w:rPr>
        <w:t>(</w:t>
      </w:r>
      <w:proofErr w:type="spellStart"/>
      <w:r w:rsidRPr="00ED3A62">
        <w:rPr>
          <w:rFonts w:asciiTheme="minorHAnsi" w:eastAsia="MS Mincho" w:hAnsiTheme="minorHAnsi" w:cstheme="minorHAnsi"/>
          <w:bCs/>
          <w:kern w:val="3"/>
        </w:rPr>
        <w:t>PEFexpert</w:t>
      </w:r>
      <w:proofErr w:type="spellEnd"/>
      <w:r w:rsidRPr="00ED3A62">
        <w:rPr>
          <w:rFonts w:asciiTheme="minorHAnsi" w:eastAsia="MS Mincho" w:hAnsiTheme="minorHAnsi" w:cstheme="minorHAnsi"/>
          <w:bCs/>
          <w:kern w:val="3"/>
        </w:rPr>
        <w:t>)</w:t>
      </w:r>
      <w:r w:rsidR="009E195F" w:rsidRPr="00ED3A62">
        <w:rPr>
          <w:rFonts w:asciiTheme="minorHAnsi" w:eastAsia="MS Mincho" w:hAnsiTheme="minorHAnsi" w:cstheme="minorHAnsi"/>
          <w:bCs/>
          <w:kern w:val="3"/>
        </w:rPr>
        <w:t>,</w:t>
      </w:r>
    </w:p>
    <w:p w14:paraId="6CB992BA" w14:textId="77777777"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pPr>
        <w:pStyle w:val="Akapitzlist"/>
        <w:numPr>
          <w:ilvl w:val="0"/>
          <w:numId w:val="7"/>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w:t>
      </w:r>
      <w:r w:rsidRPr="00234CA6">
        <w:rPr>
          <w:rFonts w:asciiTheme="minorHAnsi" w:hAnsiTheme="minorHAnsi" w:cstheme="minorHAnsi"/>
          <w:bCs/>
        </w:rPr>
        <w:lastRenderedPageBreak/>
        <w:t>lub po przedłożeniu Zamawiającemu poświadczonej za zgodność z oryginałem kopii umowy o podwykonawstwo, której przedmiotem są dostawy lub usługi).</w:t>
      </w:r>
    </w:p>
    <w:p w14:paraId="4F20950A" w14:textId="75682120"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pPr>
        <w:pStyle w:val="Akapitzlist"/>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Bezpośrednia zapłata na rzecz podwykonawcy oraz dalszego podwykonawcy skutkuje wygaśnięciem odpowiedniej części roszczenia Wykonawcy o zapłatę. Powyższe stanowi upoważnienie ze strony Wykonawcy dla Zamawiającego do spełnienia części świadczenia </w:t>
      </w:r>
      <w:r w:rsidRPr="00BB2F2E">
        <w:rPr>
          <w:rFonts w:asciiTheme="minorHAnsi" w:hAnsiTheme="minorHAnsi" w:cstheme="minorHAnsi"/>
          <w:bCs/>
          <w:kern w:val="0"/>
          <w:szCs w:val="24"/>
          <w:lang w:eastAsia="pl-PL" w:bidi="ar-SA"/>
        </w:rPr>
        <w:lastRenderedPageBreak/>
        <w:t>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438E29F9"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i sygnałów drogowych oraz urządzeń bezpieczeństwa ruchu drogowego i warunków ich umieszczania na drogach (Dz. U. z 20</w:t>
      </w:r>
      <w:r w:rsidR="004877B7">
        <w:rPr>
          <w:rFonts w:asciiTheme="minorHAnsi" w:hAnsiTheme="minorHAnsi" w:cstheme="minorHAnsi"/>
          <w:bCs/>
          <w:szCs w:val="24"/>
        </w:rPr>
        <w:t>22</w:t>
      </w:r>
      <w:r w:rsidRPr="00662DAE">
        <w:rPr>
          <w:rFonts w:asciiTheme="minorHAnsi" w:hAnsiTheme="minorHAnsi" w:cstheme="minorHAnsi"/>
          <w:bCs/>
          <w:szCs w:val="24"/>
        </w:rPr>
        <w:t>r, poz.</w:t>
      </w:r>
      <w:r w:rsidR="004877B7">
        <w:rPr>
          <w:rFonts w:asciiTheme="minorHAnsi" w:hAnsiTheme="minorHAnsi" w:cstheme="minorHAnsi"/>
          <w:bCs/>
          <w:szCs w:val="24"/>
        </w:rPr>
        <w:t>1225</w:t>
      </w:r>
      <w:r w:rsidRPr="00662DAE">
        <w:rPr>
          <w:rFonts w:asciiTheme="minorHAnsi" w:hAnsiTheme="minorHAnsi" w:cstheme="minorHAnsi"/>
          <w:bCs/>
          <w:szCs w:val="24"/>
        </w:rPr>
        <w:t xml:space="preserve">)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26D868CC"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3C220DC5" w14:textId="02DE3A64" w:rsidR="00891F07" w:rsidRDefault="00891F07">
      <w:pPr>
        <w:widowControl w:val="0"/>
        <w:numPr>
          <w:ilvl w:val="2"/>
          <w:numId w:val="47"/>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Zamawiający przekaże Wykonawcy teren robót w terminie </w:t>
      </w:r>
      <w:r w:rsidR="004877B7">
        <w:rPr>
          <w:rFonts w:asciiTheme="minorHAnsi" w:hAnsiTheme="minorHAnsi" w:cstheme="minorHAnsi"/>
          <w:bCs/>
          <w:kern w:val="0"/>
          <w:lang w:eastAsia="pl-PL" w:bidi="ar-SA"/>
        </w:rPr>
        <w:t>5</w:t>
      </w:r>
      <w:r>
        <w:rPr>
          <w:rFonts w:asciiTheme="minorHAnsi" w:hAnsiTheme="minorHAnsi" w:cstheme="minorHAnsi"/>
          <w:bCs/>
          <w:kern w:val="0"/>
          <w:lang w:eastAsia="pl-PL" w:bidi="ar-SA"/>
        </w:rPr>
        <w:t xml:space="preserve"> dni od podpisania umowy. Wykonawca przystąpi do realizacji umowy niezwłocznie, z uwzględnieniem § 8 umowy.</w:t>
      </w:r>
    </w:p>
    <w:p w14:paraId="01771D81" w14:textId="77777777" w:rsidR="00891F07" w:rsidRDefault="00891F07">
      <w:pPr>
        <w:pStyle w:val="Akapitzlist"/>
        <w:widowControl w:val="0"/>
        <w:numPr>
          <w:ilvl w:val="0"/>
          <w:numId w:val="47"/>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Od dnia przejęcia terenu robót Wykonawca przyjmuje odpowiedzialność cywilną za bezpieczeństwo i ochronę osób trzecich w związku z wykonywanymi robotami objętymi umową w obrębie terenu robót, a także za wszelkie szkody wyrządzone Zamawiającemu i osobom trzecim.</w:t>
      </w:r>
    </w:p>
    <w:p w14:paraId="5861C9F2" w14:textId="43D2FA85"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w:t>
      </w:r>
      <w:r w:rsidR="00891F07">
        <w:rPr>
          <w:rFonts w:asciiTheme="minorHAnsi" w:hAnsiTheme="minorHAnsi" w:cstheme="minorHAnsi"/>
          <w:bCs/>
          <w:kern w:val="0"/>
          <w:lang w:eastAsia="pl-PL" w:bidi="ar-SA"/>
        </w:rPr>
        <w:t xml:space="preserve"> robót</w:t>
      </w:r>
      <w:r w:rsidR="00BB2F2E" w:rsidRPr="00BB2F2E">
        <w:rPr>
          <w:rFonts w:asciiTheme="minorHAnsi" w:hAnsiTheme="minorHAnsi" w:cstheme="minorHAnsi"/>
          <w:bCs/>
          <w:kern w:val="0"/>
          <w:lang w:eastAsia="pl-PL" w:bidi="ar-SA"/>
        </w:rPr>
        <w:t xml:space="preserve">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w:t>
      </w:r>
      <w:r w:rsidR="00BB2F2E" w:rsidRPr="00BB2F2E">
        <w:rPr>
          <w:rFonts w:asciiTheme="minorHAnsi" w:hAnsiTheme="minorHAnsi" w:cstheme="minorHAnsi"/>
          <w:bCs/>
          <w:kern w:val="0"/>
          <w:lang w:eastAsia="pl-PL" w:bidi="ar-SA"/>
        </w:rPr>
        <w:lastRenderedPageBreak/>
        <w:t>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63EC01DE"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w:t>
      </w:r>
      <w:r w:rsidR="00891F07">
        <w:rPr>
          <w:rFonts w:asciiTheme="minorHAnsi" w:hAnsiTheme="minorHAnsi" w:cstheme="minorHAnsi"/>
          <w:bCs/>
          <w:kern w:val="0"/>
          <w:lang w:eastAsia="pl-PL" w:bidi="ar-SA"/>
        </w:rPr>
        <w:t xml:space="preserve">robót </w:t>
      </w:r>
      <w:r w:rsidRPr="00BB2F2E">
        <w:rPr>
          <w:rFonts w:asciiTheme="minorHAnsi" w:hAnsiTheme="minorHAnsi" w:cstheme="minorHAnsi"/>
          <w:bCs/>
          <w:kern w:val="0"/>
          <w:lang w:eastAsia="pl-PL" w:bidi="ar-SA"/>
        </w:rPr>
        <w:t>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lastRenderedPageBreak/>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55DB573" w:rsidR="00CA169C" w:rsidRPr="00662DAE" w:rsidRDefault="00CA169C">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5F3FB0">
        <w:rPr>
          <w:rFonts w:asciiTheme="minorHAnsi" w:hAnsiTheme="minorHAnsi" w:cstheme="minorHAnsi"/>
          <w:bCs/>
          <w:kern w:val="0"/>
          <w:szCs w:val="24"/>
          <w:lang w:eastAsia="pl-PL" w:bidi="ar-SA"/>
        </w:rPr>
        <w:t xml:space="preserve">60 </w:t>
      </w:r>
      <w:r w:rsidRPr="00662DAE">
        <w:rPr>
          <w:rFonts w:asciiTheme="minorHAnsi" w:hAnsiTheme="minorHAnsi" w:cstheme="minorHAnsi"/>
          <w:bCs/>
          <w:kern w:val="0"/>
          <w:szCs w:val="24"/>
          <w:lang w:eastAsia="pl-PL" w:bidi="ar-SA"/>
        </w:rPr>
        <w:t xml:space="preserve">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pPr>
        <w:pStyle w:val="Akapitzlist"/>
        <w:numPr>
          <w:ilvl w:val="2"/>
          <w:numId w:val="26"/>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16C09D17"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 xml:space="preserve">w wysokości </w:t>
      </w:r>
      <w:r w:rsidR="00E21240">
        <w:rPr>
          <w:rFonts w:asciiTheme="minorHAnsi" w:hAnsiTheme="minorHAnsi" w:cstheme="minorHAnsi"/>
          <w:bCs/>
        </w:rPr>
        <w:t>1000</w:t>
      </w:r>
      <w:r w:rsidRPr="00BD5F5D">
        <w:rPr>
          <w:rFonts w:asciiTheme="minorHAnsi" w:hAnsiTheme="minorHAnsi" w:cstheme="minorHAnsi"/>
          <w:bCs/>
        </w:rPr>
        <w:t xml:space="preserve"> zł za każdy dzień zwłoki</w:t>
      </w:r>
      <w:r w:rsidR="009E4A6A">
        <w:rPr>
          <w:rFonts w:asciiTheme="minorHAnsi" w:hAnsiTheme="minorHAnsi" w:cstheme="minorHAnsi"/>
          <w:bCs/>
        </w:rPr>
        <w:t>;</w:t>
      </w:r>
    </w:p>
    <w:p w14:paraId="633B0FD0" w14:textId="257F3683"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 xml:space="preserve">w wysokości </w:t>
      </w:r>
      <w:r w:rsidR="00E21240">
        <w:rPr>
          <w:rFonts w:asciiTheme="minorHAnsi" w:hAnsiTheme="minorHAnsi" w:cstheme="minorHAnsi"/>
          <w:bCs/>
        </w:rPr>
        <w:t>1000</w:t>
      </w:r>
      <w:r w:rsidRPr="00BD5F5D">
        <w:rPr>
          <w:rFonts w:asciiTheme="minorHAnsi" w:hAnsiTheme="minorHAnsi" w:cstheme="minorHAnsi"/>
          <w:bCs/>
        </w:rPr>
        <w:t xml:space="preserve"> zł za każdy dzień zwłoki</w:t>
      </w:r>
      <w:r w:rsidR="009E4A6A">
        <w:rPr>
          <w:rFonts w:asciiTheme="minorHAnsi" w:hAnsiTheme="minorHAnsi" w:cstheme="minorHAnsi"/>
          <w:bCs/>
        </w:rPr>
        <w:t>;</w:t>
      </w:r>
    </w:p>
    <w:p w14:paraId="6BDA8F67" w14:textId="0AB8E8BA"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ACF0018"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w:t>
      </w:r>
      <w:r w:rsidR="002D33F4">
        <w:rPr>
          <w:rFonts w:asciiTheme="minorHAnsi" w:hAnsiTheme="minorHAnsi" w:cstheme="minorHAnsi"/>
          <w:bCs/>
          <w:kern w:val="2"/>
        </w:rPr>
        <w:t>24</w:t>
      </w:r>
      <w:r w:rsidR="00BB6490" w:rsidRPr="00BB6490">
        <w:rPr>
          <w:rFonts w:asciiTheme="minorHAnsi" w:hAnsiTheme="minorHAnsi" w:cstheme="minorHAnsi"/>
          <w:bCs/>
          <w:kern w:val="2"/>
        </w:rPr>
        <w:t xml:space="preserve"> roku, poz. </w:t>
      </w:r>
      <w:r w:rsidR="002D33F4">
        <w:rPr>
          <w:rFonts w:asciiTheme="minorHAnsi" w:hAnsiTheme="minorHAnsi" w:cstheme="minorHAnsi"/>
          <w:bCs/>
          <w:kern w:val="2"/>
        </w:rPr>
        <w:t>1320</w:t>
      </w:r>
      <w:r w:rsidR="00BB6490" w:rsidRPr="00BB6490">
        <w:rPr>
          <w:rFonts w:asciiTheme="minorHAnsi" w:hAnsiTheme="minorHAnsi" w:cstheme="minorHAnsi"/>
          <w:bCs/>
          <w:kern w:val="2"/>
        </w:rPr>
        <w:t>)</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lastRenderedPageBreak/>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pPr>
        <w:widowControl w:val="0"/>
        <w:numPr>
          <w:ilvl w:val="3"/>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pPr>
        <w:widowControl w:val="0"/>
        <w:numPr>
          <w:ilvl w:val="2"/>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tego protokół. W takiej sytuacji Zamawiający wezwie Wykonawcę do usunięcia </w:t>
      </w:r>
      <w:r w:rsidRPr="00662DAE">
        <w:rPr>
          <w:rFonts w:asciiTheme="minorHAnsi" w:hAnsiTheme="minorHAnsi" w:cstheme="minorHAnsi"/>
          <w:bCs/>
          <w:kern w:val="0"/>
          <w:lang w:eastAsia="pl-PL" w:bidi="ar-SA"/>
        </w:rPr>
        <w:lastRenderedPageBreak/>
        <w:t>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w:t>
      </w:r>
      <w:r w:rsidR="00E9126B" w:rsidRPr="00077831">
        <w:rPr>
          <w:rFonts w:asciiTheme="minorHAnsi" w:eastAsiaTheme="minorHAnsi" w:hAnsiTheme="minorHAnsi" w:cstheme="minorHAnsi"/>
          <w:bCs/>
          <w:color w:val="000000"/>
          <w:kern w:val="0"/>
          <w:lang w:eastAsia="en-US" w:bidi="ar-SA"/>
        </w:rPr>
        <w:lastRenderedPageBreak/>
        <w:t xml:space="preserve">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pPr>
        <w:widowControl w:val="0"/>
        <w:numPr>
          <w:ilvl w:val="0"/>
          <w:numId w:val="6"/>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lastRenderedPageBreak/>
        <w:t>w postępowaniu deklaracji odnośnie podwykonawstwa  m.in. poprzez:</w:t>
      </w:r>
    </w:p>
    <w:p w14:paraId="56FB4696" w14:textId="47B587B5"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w:t>
      </w:r>
      <w:r w:rsidRPr="00662DAE">
        <w:rPr>
          <w:rFonts w:asciiTheme="minorHAnsi" w:hAnsiTheme="minorHAnsi" w:cstheme="minorHAnsi"/>
          <w:bCs/>
          <w:kern w:val="0"/>
          <w:lang w:eastAsia="pl-PL" w:bidi="ar-SA"/>
        </w:rPr>
        <w:lastRenderedPageBreak/>
        <w:t xml:space="preserve">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 xml:space="preserve">Wszelkie zmiany i uzupełnienia treści umowy wymagają dla swej ważności formy </w:t>
      </w:r>
      <w:r w:rsidRPr="00D12AC7">
        <w:rPr>
          <w:rFonts w:asciiTheme="minorHAnsi" w:hAnsiTheme="minorHAnsi" w:cs="Tahoma"/>
          <w:color w:val="000000"/>
          <w:szCs w:val="24"/>
        </w:rPr>
        <w:lastRenderedPageBreak/>
        <w:t>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pPr>
        <w:pStyle w:val="Akapitzlist"/>
        <w:widowControl w:val="0"/>
        <w:numPr>
          <w:ilvl w:val="0"/>
          <w:numId w:val="40"/>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20</w:t>
      </w:r>
    </w:p>
    <w:p w14:paraId="1445694D" w14:textId="50A46CEC"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Dz.U. z 2020 r. poz. 1320</w:t>
      </w:r>
      <w:r w:rsidR="002D33F4">
        <w:rPr>
          <w:rFonts w:asciiTheme="minorHAnsi" w:eastAsia="MS Mincho" w:hAnsiTheme="minorHAnsi" w:cstheme="minorHAnsi"/>
          <w:bCs/>
          <w:kern w:val="3"/>
        </w:rPr>
        <w:t xml:space="preserve"> ze </w:t>
      </w:r>
      <w:proofErr w:type="spellStart"/>
      <w:r w:rsidR="002D33F4">
        <w:rPr>
          <w:rFonts w:asciiTheme="minorHAnsi" w:eastAsia="MS Mincho" w:hAnsiTheme="minorHAnsi" w:cstheme="minorHAnsi"/>
          <w:bCs/>
          <w:kern w:val="3"/>
        </w:rPr>
        <w:t>zm</w:t>
      </w:r>
      <w:proofErr w:type="spellEnd"/>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40DDA7A"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 xml:space="preserve">zgodnie z przepisami o ochronie danych osobowych tj. w szczególności adresów, nr PESEL, jednak z </w:t>
      </w:r>
      <w:r w:rsidRPr="00662DAE">
        <w:rPr>
          <w:rFonts w:asciiTheme="minorHAnsi" w:eastAsia="MS Mincho" w:hAnsiTheme="minorHAnsi" w:cstheme="minorHAnsi"/>
          <w:bCs/>
          <w:kern w:val="3"/>
        </w:rPr>
        <w:lastRenderedPageBreak/>
        <w:t>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32835DE7" w:rsidR="00941725" w:rsidRDefault="00941725">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lastRenderedPageBreak/>
        <w:t>W przypadku, gdy okres ubezpieczenia upływa w czasie obowiązywania umowy, Wykonawca zobowiązany jest przedłożyć Zamawiającemu, nie później niż ostatniego dnia obowiązywania ubezpieczenia, kopię dowodu jego przedłużenia.</w:t>
      </w:r>
    </w:p>
    <w:p w14:paraId="64122A98" w14:textId="527EB003" w:rsid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1F241093" w14:textId="77777777" w:rsidR="00B4408A"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459C9837" w14:textId="77777777" w:rsidR="00B4408A" w:rsidRPr="00195509"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23885464"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Pr>
          <w:rFonts w:ascii="Calibri" w:hAnsi="Calibri" w:cs="Calibri"/>
          <w:spacing w:val="12"/>
          <w:kern w:val="0"/>
          <w:lang w:eastAsia="pl-PL" w:bidi="ar-SA"/>
        </w:rPr>
        <w:t xml:space="preserve">gwarancji jakości i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01A5513"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D3E7E16"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i gwarancji jakości</w:t>
      </w:r>
      <w:r w:rsidRPr="006D3737">
        <w:rPr>
          <w:rFonts w:ascii="Calibri" w:hAnsi="Calibri" w:cs="Calibri"/>
          <w:spacing w:val="-1"/>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Pr>
          <w:rFonts w:ascii="Calibri" w:hAnsi="Calibri" w:cs="Calibri"/>
          <w:spacing w:val="33"/>
          <w:kern w:val="0"/>
          <w:lang w:eastAsia="pl-PL" w:bidi="ar-SA"/>
        </w:rPr>
        <w:t xml:space="preserve">i gwarancji jakości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proofErr w:type="spellStart"/>
      <w:r w:rsidRPr="006D3737">
        <w:rPr>
          <w:rFonts w:ascii="Calibri" w:hAnsi="Calibri" w:cs="Calibri"/>
          <w:spacing w:val="1"/>
          <w:kern w:val="0"/>
          <w:lang w:eastAsia="pl-PL" w:bidi="ar-SA"/>
        </w:rPr>
        <w:t>Pzp</w:t>
      </w:r>
      <w:proofErr w:type="spellEnd"/>
      <w:r w:rsidRPr="006D3737">
        <w:rPr>
          <w:rFonts w:ascii="Calibri" w:hAnsi="Calibri" w:cs="Calibri"/>
          <w:spacing w:val="1"/>
          <w:kern w:val="0"/>
          <w:lang w:eastAsia="pl-PL" w:bidi="ar-SA"/>
        </w:rPr>
        <w:t>.</w:t>
      </w:r>
    </w:p>
    <w:p w14:paraId="7177F711" w14:textId="77777777" w:rsidR="00B4408A" w:rsidRPr="006D3737" w:rsidRDefault="00B4408A" w:rsidP="00B4408A">
      <w:pPr>
        <w:widowControl w:val="0"/>
        <w:numPr>
          <w:ilvl w:val="0"/>
          <w:numId w:val="48"/>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45850BA8" w14:textId="5619FCA0" w:rsidR="00B4408A" w:rsidRDefault="00B4408A"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§23</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93A1F2E"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4</w:t>
      </w:r>
    </w:p>
    <w:p w14:paraId="0932408E" w14:textId="3FDD54FD" w:rsidR="00EB3B1C" w:rsidRDefault="00CA169C" w:rsidP="00F6583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3ABC71ED" w14:textId="0871AB1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5</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199BE2BB"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6</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5459EC48"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7</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734E369B" w14:textId="77777777" w:rsidR="00B4408A" w:rsidRDefault="00B4408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2E0AE70A"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3BD5FE39"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1B86A3BB" w14:textId="1743FA4D"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5E62CBF" w14:textId="291237DE"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AF5FDD7" w14:textId="77777777" w:rsidR="00F6583E" w:rsidRDefault="00F6583E"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201F02FA" w:rsidR="001A4033" w:rsidRPr="004664C8"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w:t>
      </w:r>
      <w:r w:rsidR="007D76AB">
        <w:rPr>
          <w:rFonts w:asciiTheme="minorHAnsi" w:hAnsiTheme="minorHAnsi" w:cstheme="minorHAnsi"/>
          <w:bCs/>
          <w:kern w:val="3"/>
          <w:lang w:eastAsia="pl-PL" w:bidi="ar-SA"/>
        </w:rPr>
        <w:t xml:space="preserve"> i realizacja</w:t>
      </w:r>
      <w:r w:rsidRPr="00662DAE">
        <w:rPr>
          <w:rFonts w:asciiTheme="minorHAnsi" w:hAnsiTheme="minorHAnsi" w:cstheme="minorHAnsi"/>
          <w:bCs/>
          <w:kern w:val="3"/>
          <w:lang w:eastAsia="pl-PL" w:bidi="ar-SA"/>
        </w:rPr>
        <w:t xml:space="preserv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AE5311">
        <w:rPr>
          <w:rStyle w:val="FontStyle13"/>
          <w:rFonts w:asciiTheme="minorHAnsi" w:hAnsiTheme="minorHAnsi" w:cstheme="minorHAnsi"/>
          <w:bCs/>
          <w:sz w:val="24"/>
          <w:szCs w:val="24"/>
        </w:rPr>
        <w:t>Przebudowa drogi powiatowej Nr 1</w:t>
      </w:r>
      <w:r w:rsidR="00670A62">
        <w:rPr>
          <w:rStyle w:val="FontStyle13"/>
          <w:rFonts w:asciiTheme="minorHAnsi" w:hAnsiTheme="minorHAnsi" w:cstheme="minorHAnsi"/>
          <w:bCs/>
          <w:sz w:val="24"/>
          <w:szCs w:val="24"/>
        </w:rPr>
        <w:t>495N relacji Ryn Reszelski-Kolno na odcinku od km 5+425 do km 6+385”.</w:t>
      </w:r>
    </w:p>
    <w:p w14:paraId="257B1518" w14:textId="04DC335A" w:rsidR="001A4033" w:rsidRPr="001A4033" w:rsidRDefault="001A4033">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w:t>
      </w:r>
      <w:r w:rsidR="007D76AB">
        <w:rPr>
          <w:rFonts w:asciiTheme="minorHAnsi" w:hAnsiTheme="minorHAnsi" w:cstheme="minorHAnsi"/>
          <w:kern w:val="3"/>
          <w:lang w:eastAsia="pl-PL"/>
        </w:rPr>
        <w:t>b</w:t>
      </w:r>
      <w:proofErr w:type="spellEnd"/>
      <w:r w:rsidR="007D76AB">
        <w:rPr>
          <w:rFonts w:asciiTheme="minorHAnsi" w:hAnsiTheme="minorHAnsi" w:cstheme="minorHAnsi"/>
          <w:kern w:val="3"/>
          <w:lang w:eastAsia="pl-PL"/>
        </w:rPr>
        <w:t xml:space="preserve"> i </w:t>
      </w:r>
      <w:r w:rsidRPr="001A4033">
        <w:rPr>
          <w:rFonts w:asciiTheme="minorHAnsi" w:hAnsiTheme="minorHAnsi" w:cstheme="minorHAnsi"/>
          <w:kern w:val="3"/>
          <w:lang w:eastAsia="pl-PL"/>
        </w:rPr>
        <w:t xml:space="preserve">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033E0">
        <w:rPr>
          <w:rFonts w:asciiTheme="minorHAnsi" w:hAnsiTheme="minorHAnsi" w:cstheme="minorHAnsi"/>
        </w:rPr>
        <w:t>3</w:t>
      </w:r>
      <w:r w:rsidR="0042090F">
        <w:rPr>
          <w:rFonts w:asciiTheme="minorHAnsi" w:hAnsiTheme="minorHAnsi" w:cstheme="minorHAnsi"/>
        </w:rPr>
        <w:t xml:space="preserve"> roku poz.</w:t>
      </w:r>
      <w:r w:rsidR="007D76AB">
        <w:rPr>
          <w:rFonts w:asciiTheme="minorHAnsi" w:hAnsiTheme="minorHAnsi" w:cstheme="minorHAnsi"/>
        </w:rPr>
        <w:t xml:space="preserve"> 1</w:t>
      </w:r>
      <w:r w:rsidR="00B033E0">
        <w:rPr>
          <w:rFonts w:asciiTheme="minorHAnsi" w:hAnsiTheme="minorHAnsi" w:cstheme="minorHAnsi"/>
        </w:rPr>
        <w:t>605</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Podanie przez Pana/Panią danych osobowych jest:</w:t>
      </w:r>
    </w:p>
    <w:p w14:paraId="00189E5D" w14:textId="09014F14" w:rsidR="00CA169C" w:rsidRPr="00662DAE" w:rsidRDefault="00CA169C">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w:t>
      </w:r>
      <w:r w:rsidR="006D1D33">
        <w:rPr>
          <w:rFonts w:asciiTheme="minorHAnsi" w:hAnsiTheme="minorHAnsi" w:cstheme="minorHAnsi"/>
          <w:bCs/>
          <w:kern w:val="3"/>
          <w:lang w:eastAsia="pl-PL" w:bidi="ar-SA"/>
        </w:rPr>
        <w:t xml:space="preserve"> i realizacji </w:t>
      </w:r>
      <w:r w:rsidRPr="00662DAE">
        <w:rPr>
          <w:rFonts w:asciiTheme="minorHAnsi" w:hAnsiTheme="minorHAnsi" w:cstheme="minorHAnsi"/>
          <w:bCs/>
          <w:kern w:val="3"/>
          <w:lang w:eastAsia="pl-PL" w:bidi="ar-SA"/>
        </w:rPr>
        <w:t xml:space="preserve"> umowy, której Pan/Pani jest stroną. Konsekwencją nie podania danych osobowych jest brak możliwości osiągnięcia celu, jakim jest zawarcie umowy i wypełnienie zobowiązań wynikających z zapisów umowy.</w:t>
      </w:r>
    </w:p>
    <w:p w14:paraId="04CB68C1"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FDDE" w14:textId="77777777" w:rsidR="00677CFF" w:rsidRDefault="00677CFF" w:rsidP="00662DAE">
      <w:pPr>
        <w:spacing w:line="240" w:lineRule="auto"/>
      </w:pPr>
      <w:r>
        <w:separator/>
      </w:r>
    </w:p>
  </w:endnote>
  <w:endnote w:type="continuationSeparator" w:id="0">
    <w:p w14:paraId="290FBEE2" w14:textId="77777777" w:rsidR="00677CFF" w:rsidRDefault="00677CFF"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007332">
          <w:rPr>
            <w:noProof/>
          </w:rPr>
          <w:t>24</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E02E" w14:textId="77777777" w:rsidR="00677CFF" w:rsidRDefault="00677CFF" w:rsidP="00662DAE">
      <w:pPr>
        <w:spacing w:line="240" w:lineRule="auto"/>
      </w:pPr>
      <w:r>
        <w:separator/>
      </w:r>
    </w:p>
  </w:footnote>
  <w:footnote w:type="continuationSeparator" w:id="0">
    <w:p w14:paraId="50375529" w14:textId="77777777" w:rsidR="00677CFF" w:rsidRDefault="00677CFF"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0E533216"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68452B">
      <w:rPr>
        <w:rFonts w:asciiTheme="minorHAnsi" w:hAnsiTheme="minorHAnsi" w:cstheme="minorHAnsi"/>
        <w:bCs/>
      </w:rPr>
      <w:t>1</w:t>
    </w:r>
    <w:r w:rsidR="00670A62">
      <w:rPr>
        <w:rFonts w:asciiTheme="minorHAnsi" w:hAnsiTheme="minorHAnsi" w:cstheme="minorHAnsi"/>
        <w:bCs/>
      </w:rPr>
      <w:t>5</w:t>
    </w:r>
    <w:r>
      <w:rPr>
        <w:rFonts w:asciiTheme="minorHAnsi" w:hAnsiTheme="minorHAnsi" w:cstheme="minorHAnsi"/>
        <w:bCs/>
      </w:rPr>
      <w:t>.202</w:t>
    </w:r>
    <w:r w:rsidR="001E4483">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6"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7"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553690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9915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254864">
    <w:abstractNumId w:val="38"/>
  </w:num>
  <w:num w:numId="4" w16cid:durableId="784537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085992">
    <w:abstractNumId w:val="28"/>
  </w:num>
  <w:num w:numId="6" w16cid:durableId="1016270923">
    <w:abstractNumId w:val="0"/>
  </w:num>
  <w:num w:numId="7" w16cid:durableId="350493398">
    <w:abstractNumId w:val="22"/>
  </w:num>
  <w:num w:numId="8" w16cid:durableId="1430850483">
    <w:abstractNumId w:val="30"/>
  </w:num>
  <w:num w:numId="9" w16cid:durableId="977146681">
    <w:abstractNumId w:val="25"/>
  </w:num>
  <w:num w:numId="10" w16cid:durableId="1534491440">
    <w:abstractNumId w:val="8"/>
  </w:num>
  <w:num w:numId="11" w16cid:durableId="208610250">
    <w:abstractNumId w:val="34"/>
  </w:num>
  <w:num w:numId="12" w16cid:durableId="392311877">
    <w:abstractNumId w:val="17"/>
  </w:num>
  <w:num w:numId="13" w16cid:durableId="1041635835">
    <w:abstractNumId w:val="18"/>
  </w:num>
  <w:num w:numId="14" w16cid:durableId="1717850696">
    <w:abstractNumId w:val="18"/>
    <w:lvlOverride w:ilvl="0">
      <w:startOverride w:val="1"/>
    </w:lvlOverride>
  </w:num>
  <w:num w:numId="15" w16cid:durableId="209925387">
    <w:abstractNumId w:val="26"/>
  </w:num>
  <w:num w:numId="16" w16cid:durableId="92554838">
    <w:abstractNumId w:val="3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1367634401">
    <w:abstractNumId w:val="19"/>
  </w:num>
  <w:num w:numId="18" w16cid:durableId="1398432042">
    <w:abstractNumId w:val="44"/>
  </w:num>
  <w:num w:numId="19" w16cid:durableId="342821206">
    <w:abstractNumId w:val="10"/>
  </w:num>
  <w:num w:numId="20" w16cid:durableId="922640629">
    <w:abstractNumId w:val="14"/>
  </w:num>
  <w:num w:numId="21" w16cid:durableId="657533424">
    <w:abstractNumId w:val="11"/>
  </w:num>
  <w:num w:numId="22" w16cid:durableId="1289825177">
    <w:abstractNumId w:val="20"/>
  </w:num>
  <w:num w:numId="23" w16cid:durableId="1060976492">
    <w:abstractNumId w:val="24"/>
  </w:num>
  <w:num w:numId="24" w16cid:durableId="969239460">
    <w:abstractNumId w:val="23"/>
  </w:num>
  <w:num w:numId="25" w16cid:durableId="1201745034">
    <w:abstractNumId w:val="37"/>
  </w:num>
  <w:num w:numId="26" w16cid:durableId="323166489">
    <w:abstractNumId w:val="39"/>
  </w:num>
  <w:num w:numId="27" w16cid:durableId="1426921606">
    <w:abstractNumId w:val="29"/>
  </w:num>
  <w:num w:numId="28" w16cid:durableId="1233465044">
    <w:abstractNumId w:val="13"/>
  </w:num>
  <w:num w:numId="29" w16cid:durableId="2118871184">
    <w:abstractNumId w:val="6"/>
  </w:num>
  <w:num w:numId="30" w16cid:durableId="193005277">
    <w:abstractNumId w:val="33"/>
  </w:num>
  <w:num w:numId="31" w16cid:durableId="954794860">
    <w:abstractNumId w:val="7"/>
  </w:num>
  <w:num w:numId="32" w16cid:durableId="1290358551">
    <w:abstractNumId w:val="27"/>
  </w:num>
  <w:num w:numId="33" w16cid:durableId="1024745814">
    <w:abstractNumId w:val="42"/>
  </w:num>
  <w:num w:numId="34" w16cid:durableId="788398284">
    <w:abstractNumId w:val="16"/>
  </w:num>
  <w:num w:numId="35" w16cid:durableId="1776175457">
    <w:abstractNumId w:val="41"/>
  </w:num>
  <w:num w:numId="36" w16cid:durableId="809833799">
    <w:abstractNumId w:val="46"/>
  </w:num>
  <w:num w:numId="37" w16cid:durableId="1200166460">
    <w:abstractNumId w:val="43"/>
  </w:num>
  <w:num w:numId="38" w16cid:durableId="1452364415">
    <w:abstractNumId w:val="35"/>
  </w:num>
  <w:num w:numId="39" w16cid:durableId="1467355281">
    <w:abstractNumId w:val="15"/>
  </w:num>
  <w:num w:numId="40" w16cid:durableId="1628197896">
    <w:abstractNumId w:val="3"/>
  </w:num>
  <w:num w:numId="41" w16cid:durableId="409667505">
    <w:abstractNumId w:val="12"/>
  </w:num>
  <w:num w:numId="42" w16cid:durableId="1169444260">
    <w:abstractNumId w:val="31"/>
  </w:num>
  <w:num w:numId="43" w16cid:durableId="940726379">
    <w:abstractNumId w:val="21"/>
  </w:num>
  <w:num w:numId="44" w16cid:durableId="931476497">
    <w:abstractNumId w:val="45"/>
  </w:num>
  <w:num w:numId="45" w16cid:durableId="1470440549">
    <w:abstractNumId w:val="9"/>
  </w:num>
  <w:num w:numId="46" w16cid:durableId="1712994258">
    <w:abstractNumId w:val="40"/>
  </w:num>
  <w:num w:numId="47" w16cid:durableId="318729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175865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07332"/>
    <w:rsid w:val="00031F05"/>
    <w:rsid w:val="0004345E"/>
    <w:rsid w:val="00051E8B"/>
    <w:rsid w:val="00077831"/>
    <w:rsid w:val="00086CA9"/>
    <w:rsid w:val="000A5DBD"/>
    <w:rsid w:val="000A62E4"/>
    <w:rsid w:val="000B5629"/>
    <w:rsid w:val="000C19C3"/>
    <w:rsid w:val="000C7F6D"/>
    <w:rsid w:val="0012179D"/>
    <w:rsid w:val="00121DF3"/>
    <w:rsid w:val="001348D3"/>
    <w:rsid w:val="0019167A"/>
    <w:rsid w:val="001931DA"/>
    <w:rsid w:val="00197EAD"/>
    <w:rsid w:val="001A4033"/>
    <w:rsid w:val="001E4483"/>
    <w:rsid w:val="001E4C74"/>
    <w:rsid w:val="001F488A"/>
    <w:rsid w:val="00223536"/>
    <w:rsid w:val="00234CA6"/>
    <w:rsid w:val="002B32D9"/>
    <w:rsid w:val="002D33F4"/>
    <w:rsid w:val="002F440F"/>
    <w:rsid w:val="003108CE"/>
    <w:rsid w:val="00362217"/>
    <w:rsid w:val="003658B4"/>
    <w:rsid w:val="003B7CAB"/>
    <w:rsid w:val="003C031F"/>
    <w:rsid w:val="003E7FDD"/>
    <w:rsid w:val="003F7D78"/>
    <w:rsid w:val="00414457"/>
    <w:rsid w:val="0042090F"/>
    <w:rsid w:val="00424DE5"/>
    <w:rsid w:val="00427CAB"/>
    <w:rsid w:val="00432550"/>
    <w:rsid w:val="00443AEC"/>
    <w:rsid w:val="00462FF5"/>
    <w:rsid w:val="004664C8"/>
    <w:rsid w:val="004877B7"/>
    <w:rsid w:val="0049216C"/>
    <w:rsid w:val="004C55D8"/>
    <w:rsid w:val="004D00B5"/>
    <w:rsid w:val="004E275D"/>
    <w:rsid w:val="004E3E11"/>
    <w:rsid w:val="005004AE"/>
    <w:rsid w:val="00532AAE"/>
    <w:rsid w:val="005425FF"/>
    <w:rsid w:val="005903F3"/>
    <w:rsid w:val="005B53D4"/>
    <w:rsid w:val="005C1D02"/>
    <w:rsid w:val="005D252B"/>
    <w:rsid w:val="005D48E8"/>
    <w:rsid w:val="005F3FB0"/>
    <w:rsid w:val="00605DF2"/>
    <w:rsid w:val="00640EF1"/>
    <w:rsid w:val="00662DAE"/>
    <w:rsid w:val="00670A62"/>
    <w:rsid w:val="00677CFF"/>
    <w:rsid w:val="0068452B"/>
    <w:rsid w:val="00684F5E"/>
    <w:rsid w:val="006D1D33"/>
    <w:rsid w:val="006E58C7"/>
    <w:rsid w:val="006F66B6"/>
    <w:rsid w:val="007279B5"/>
    <w:rsid w:val="00741078"/>
    <w:rsid w:val="00753203"/>
    <w:rsid w:val="007A6626"/>
    <w:rsid w:val="007D2987"/>
    <w:rsid w:val="007D3399"/>
    <w:rsid w:val="007D76AB"/>
    <w:rsid w:val="007D7759"/>
    <w:rsid w:val="007E034E"/>
    <w:rsid w:val="008040A8"/>
    <w:rsid w:val="00833BE6"/>
    <w:rsid w:val="008457AE"/>
    <w:rsid w:val="0084683A"/>
    <w:rsid w:val="00891F07"/>
    <w:rsid w:val="00896076"/>
    <w:rsid w:val="008A66A9"/>
    <w:rsid w:val="008B068B"/>
    <w:rsid w:val="008C54FD"/>
    <w:rsid w:val="008D5B05"/>
    <w:rsid w:val="00941725"/>
    <w:rsid w:val="009517DC"/>
    <w:rsid w:val="009B04B7"/>
    <w:rsid w:val="009E195F"/>
    <w:rsid w:val="009E4A6A"/>
    <w:rsid w:val="009F3B35"/>
    <w:rsid w:val="00A23080"/>
    <w:rsid w:val="00A52977"/>
    <w:rsid w:val="00A65DB6"/>
    <w:rsid w:val="00AB1B92"/>
    <w:rsid w:val="00AC0775"/>
    <w:rsid w:val="00AC0F61"/>
    <w:rsid w:val="00AC386C"/>
    <w:rsid w:val="00AE2DA0"/>
    <w:rsid w:val="00AE5311"/>
    <w:rsid w:val="00B033E0"/>
    <w:rsid w:val="00B1509A"/>
    <w:rsid w:val="00B300E5"/>
    <w:rsid w:val="00B4408A"/>
    <w:rsid w:val="00B9300F"/>
    <w:rsid w:val="00BA1954"/>
    <w:rsid w:val="00BA542C"/>
    <w:rsid w:val="00BB2F2E"/>
    <w:rsid w:val="00BB6490"/>
    <w:rsid w:val="00BC1DFA"/>
    <w:rsid w:val="00BD1155"/>
    <w:rsid w:val="00BD5F5D"/>
    <w:rsid w:val="00BE5625"/>
    <w:rsid w:val="00BF30ED"/>
    <w:rsid w:val="00C42F1A"/>
    <w:rsid w:val="00CA169C"/>
    <w:rsid w:val="00CA3365"/>
    <w:rsid w:val="00CA5E17"/>
    <w:rsid w:val="00D12AC7"/>
    <w:rsid w:val="00D16FE1"/>
    <w:rsid w:val="00D31F21"/>
    <w:rsid w:val="00D36F37"/>
    <w:rsid w:val="00D40C9D"/>
    <w:rsid w:val="00D7433A"/>
    <w:rsid w:val="00D7519D"/>
    <w:rsid w:val="00D86820"/>
    <w:rsid w:val="00D8730B"/>
    <w:rsid w:val="00D9208F"/>
    <w:rsid w:val="00DA0819"/>
    <w:rsid w:val="00DA183B"/>
    <w:rsid w:val="00DA43FD"/>
    <w:rsid w:val="00DC40DE"/>
    <w:rsid w:val="00DE4EA6"/>
    <w:rsid w:val="00DF221D"/>
    <w:rsid w:val="00E21240"/>
    <w:rsid w:val="00E37EE8"/>
    <w:rsid w:val="00E83C4F"/>
    <w:rsid w:val="00E9126B"/>
    <w:rsid w:val="00E94B97"/>
    <w:rsid w:val="00EB3B1C"/>
    <w:rsid w:val="00EB6673"/>
    <w:rsid w:val="00ED168C"/>
    <w:rsid w:val="00ED362D"/>
    <w:rsid w:val="00ED3A62"/>
    <w:rsid w:val="00ED5F7A"/>
    <w:rsid w:val="00EE5FFC"/>
    <w:rsid w:val="00EF2459"/>
    <w:rsid w:val="00F21209"/>
    <w:rsid w:val="00F25E19"/>
    <w:rsid w:val="00F649CF"/>
    <w:rsid w:val="00F6583E"/>
    <w:rsid w:val="00F70DEE"/>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 w:id="2014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D7D5-20A0-4CA7-B00A-47609B3B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25</Pages>
  <Words>6952</Words>
  <Characters>41716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116</cp:revision>
  <cp:lastPrinted>2025-03-11T09:27:00Z</cp:lastPrinted>
  <dcterms:created xsi:type="dcterms:W3CDTF">2021-02-24T07:00:00Z</dcterms:created>
  <dcterms:modified xsi:type="dcterms:W3CDTF">2025-03-13T06:44:00Z</dcterms:modified>
</cp:coreProperties>
</file>