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120" w:before="120" w:line="240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Orzyszu” realizowanego przez SIM KZN - Warmia i Mazury Sp. z o.o.</w:t>
      </w:r>
      <w:r w:rsidDel="00000000" w:rsidR="00000000" w:rsidRPr="00000000">
        <w:rPr>
          <w:b w:val="1"/>
          <w:i w:val="1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Hlmdb+OkyvintbDnHPR29QUTDQ==">CgMxLjAyCGguZ2pkZ3hzMgloLjMwajB6bGw4AGojChRzdWdnZXN0LjNjbDB5dGZocGR3dBILS2Fyb2wgTm93YWtyITFEcFZMUnVPOTJQME95MWhiemt1NkdxWVQ4cFRoc2JYUg==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