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budynku wielorodzinnego w Orzyszu” realizowanego przez SIM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 4 ustawy Pzp., oświadczam/my, że: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0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Absi9KwGTlu/3FQMaJjzdpiPbw==">CgMxLjA4AGojChRzdWdnZXN0LmVna2g0ZXVhejJuORILS2Fyb2wgTm93YWtyITFOUmUwZXhGT3NHM0Z3NXNVVlhoU0NzQ1hPMVVPc3BtMg==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